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ind w:left="0" w:firstLine="0"/>
      </w:pPr>
    </w:p>
    <w:p>
      <w:pPr>
        <w:spacing w:before="0" w:after="0" w:line="240" w:lineRule="auto"/>
        <w:ind w:left="0" w:firstLine="0"/>
      </w:pPr>
    </w:p>
    <w:p>
      <w:pPr>
        <w:spacing w:before="0" w:after="0" w:line="240" w:lineRule="auto"/>
        <w:ind w:left="0" w:firstLine="0"/>
      </w:pPr>
    </w:p>
    <w:p>
      <w:pPr>
        <w:spacing w:before="280" w:after="0" w:line="240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56"/>
        </w:rPr>
        <w:t>NIVAM</w:t>
      </w:r>
    </w:p>
    <w:p>
      <w:pPr>
        <w:spacing w:before="0" w:after="0" w:line="240" w:lineRule="auto"/>
        <w:ind w:left="0" w:firstLine="0"/>
        <w:jc w:val="center"/>
      </w:pPr>
      <w:r>
        <w:rPr>
          <w:rFonts w:ascii="Times New Roman" w:hAnsi="Times New Roman" w:eastAsia="Times New Roman"/>
          <w:b w:val="0"/>
          <w:i w:val="0"/>
          <w:sz w:val="15"/>
        </w:rPr>
        <w:t>NÁRODNÝ INŠTITÚT VZDELÁVANIA A MLÁDEŽE</w:t>
      </w:r>
    </w:p>
    <w:p>
      <w:pPr>
        <w:spacing w:before="0" w:after="0" w:line="240" w:lineRule="auto"/>
        <w:ind w:left="0" w:firstLine="0"/>
      </w:pPr>
    </w:p>
    <w:p>
      <w:pPr>
        <w:spacing w:before="0" w:after="0" w:line="240" w:lineRule="auto"/>
        <w:ind w:left="0" w:firstLine="0"/>
      </w:pPr>
    </w:p>
    <w:p>
      <w:pPr>
        <w:spacing w:before="0" w:after="0" w:line="240" w:lineRule="auto"/>
        <w:ind w:left="0" w:firstLine="0"/>
      </w:pPr>
    </w:p>
    <w:p>
      <w:pPr>
        <w:spacing w:before="0" w:after="0" w:line="240" w:lineRule="auto"/>
        <w:ind w:left="0" w:firstLine="0"/>
      </w:pPr>
    </w:p>
    <w:p>
      <w:pPr>
        <w:spacing w:before="0" w:after="0" w:line="240" w:lineRule="auto"/>
        <w:ind w:left="0" w:firstLine="0"/>
      </w:pPr>
    </w:p>
    <w:p>
      <w:pPr>
        <w:spacing w:before="0" w:after="0" w:line="240" w:lineRule="auto"/>
        <w:ind w:left="0" w:firstLine="0"/>
      </w:pPr>
    </w:p>
    <w:p>
      <w:pPr>
        <w:spacing w:before="0" w:after="0" w:line="240" w:lineRule="auto"/>
        <w:ind w:left="0" w:firstLine="0"/>
      </w:pPr>
    </w:p>
    <w:p>
      <w:pPr>
        <w:spacing w:before="0" w:after="0" w:line="240" w:lineRule="auto"/>
        <w:ind w:left="0" w:firstLine="0"/>
      </w:pPr>
    </w:p>
    <w:p>
      <w:pPr>
        <w:spacing w:before="0" w:after="0" w:line="240" w:lineRule="auto"/>
        <w:ind w:left="0" w:firstLine="0"/>
      </w:pPr>
    </w:p>
    <w:p>
      <w:pPr>
        <w:spacing w:before="0" w:after="0" w:line="240" w:lineRule="auto"/>
        <w:ind w:left="0" w:firstLine="0"/>
      </w:pPr>
    </w:p>
    <w:p>
      <w:pPr>
        <w:spacing w:before="0" w:after="0" w:line="240" w:lineRule="auto"/>
        <w:ind w:left="0" w:firstLine="0"/>
      </w:pPr>
    </w:p>
    <w:p>
      <w:pPr>
        <w:spacing w:before="0" w:after="0" w:line="240" w:lineRule="auto"/>
        <w:ind w:left="0" w:firstLine="0"/>
      </w:pPr>
    </w:p>
    <w:p>
      <w:pPr>
        <w:spacing w:before="0" w:after="0" w:line="240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2"/>
        </w:rPr>
        <w:t>Štatút ocenenia „Pracovník s mládežou roka na Slovensku“.</w:t>
      </w:r>
    </w:p>
    <w:p>
      <w:pPr>
        <w:spacing w:before="0" w:after="0" w:line="240" w:lineRule="auto"/>
        <w:ind w:left="0" w:firstLine="0"/>
      </w:pPr>
    </w:p>
    <w:p>
      <w:pPr>
        <w:spacing w:before="0" w:after="0" w:line="240" w:lineRule="auto"/>
        <w:ind w:left="0" w:firstLine="0"/>
      </w:pPr>
    </w:p>
    <w:p>
      <w:pPr>
        <w:spacing w:before="0" w:after="0" w:line="240" w:lineRule="auto"/>
        <w:ind w:left="0" w:firstLine="0"/>
      </w:pPr>
    </w:p>
    <w:p>
      <w:pPr>
        <w:spacing w:before="0" w:after="0" w:line="240" w:lineRule="auto"/>
        <w:ind w:left="0" w:firstLine="0"/>
      </w:pPr>
    </w:p>
    <w:p>
      <w:pPr>
        <w:spacing w:before="0" w:after="0" w:line="240" w:lineRule="auto"/>
        <w:ind w:left="0" w:firstLine="0"/>
      </w:pPr>
    </w:p>
    <w:p>
      <w:pPr>
        <w:spacing w:before="0" w:after="0" w:line="240" w:lineRule="auto"/>
        <w:ind w:left="0" w:firstLine="0"/>
      </w:pPr>
    </w:p>
    <w:p>
      <w:pPr>
        <w:spacing w:before="0" w:after="0" w:line="240" w:lineRule="auto"/>
        <w:ind w:left="0" w:firstLine="0"/>
      </w:pPr>
    </w:p>
    <w:p>
      <w:pPr>
        <w:spacing w:before="0" w:after="0" w:line="240" w:lineRule="auto"/>
        <w:ind w:left="0" w:firstLine="0"/>
      </w:pPr>
    </w:p>
    <w:p>
      <w:pPr>
        <w:spacing w:before="0" w:after="0" w:line="240" w:lineRule="auto"/>
        <w:ind w:left="0" w:firstLine="0"/>
      </w:pPr>
    </w:p>
    <w:p>
      <w:pPr>
        <w:spacing w:before="0" w:after="0" w:line="240" w:lineRule="auto"/>
        <w:ind w:left="0" w:firstLine="0"/>
      </w:pPr>
    </w:p>
    <w:p>
      <w:pPr>
        <w:spacing w:before="0" w:after="0" w:line="240" w:lineRule="auto"/>
        <w:ind w:left="0" w:firstLine="0"/>
      </w:pPr>
    </w:p>
    <w:p>
      <w:pPr>
        <w:spacing w:before="0" w:after="0" w:line="240" w:lineRule="auto"/>
        <w:ind w:left="0" w:firstLine="0"/>
      </w:pPr>
    </w:p>
    <w:p>
      <w:pPr>
        <w:spacing w:before="0" w:after="0" w:line="240" w:lineRule="auto"/>
        <w:ind w:left="0" w:firstLine="0"/>
      </w:pPr>
    </w:p>
    <w:p>
      <w:pPr>
        <w:spacing w:before="0" w:after="0" w:line="240" w:lineRule="auto"/>
        <w:ind w:left="0" w:firstLine="0"/>
      </w:pPr>
    </w:p>
    <w:p>
      <w:pPr>
        <w:spacing w:before="0" w:after="0" w:line="240" w:lineRule="auto"/>
        <w:ind w:left="0" w:firstLine="0"/>
        <w:jc w:val="center"/>
      </w:pPr>
      <w:r>
        <w:rPr>
          <w:rFonts w:ascii="Times New Roman" w:hAnsi="Times New Roman" w:eastAsia="Times New Roman"/>
          <w:b w:val="0"/>
          <w:i w:val="0"/>
          <w:sz w:val="22"/>
        </w:rPr>
        <w:t>Bratislava, február 2026</w:t>
      </w:r>
    </w:p>
    <w:p>
      <w:r>
        <w:br w:type="page"/>
      </w:r>
    </w:p>
    <w:p>
      <w:pPr>
        <w:spacing w:before="0" w:after="280" w:line="240" w:lineRule="auto"/>
        <w:ind w:left="0" w:firstLine="0"/>
      </w:pPr>
      <w:r>
        <w:rPr>
          <w:rFonts w:ascii="Times New Roman" w:hAnsi="Times New Roman" w:eastAsia="Times New Roman"/>
          <w:b w:val="0"/>
          <w:i w:val="0"/>
          <w:sz w:val="22"/>
        </w:rPr>
        <w:t>Generálny riaditeľ Národného inštitútu vzdelávania a mládeže (ďalej ako „NIVaM“) podľa</w:t>
        <w:br/>
        <w:t>článku 4, ods. 2 písm. f) Štatútu NIVaM a článku 8 ods. 2 písm. f) bod 1 Organizačného</w:t>
        <w:br/>
        <w:t>poriadku NIVaM vydáva tento:</w:t>
      </w:r>
    </w:p>
    <w:p>
      <w:pPr>
        <w:spacing w:before="0" w:after="360" w:line="240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2"/>
        </w:rPr>
        <w:t>Štatút ocenenia „Pracovník s mládežou roka na Slovensku“ (ďalej ako „štatút“)</w:t>
      </w:r>
    </w:p>
    <w:p>
      <w:pPr>
        <w:spacing w:before="0" w:after="160" w:line="240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2"/>
        </w:rPr>
        <w:t>Preambula</w:t>
      </w:r>
    </w:p>
    <w:p>
      <w:pPr>
        <w:spacing w:before="0" w:after="0" w:line="240" w:lineRule="auto"/>
        <w:ind w:left="397" w:hanging="397"/>
      </w:pPr>
      <w:r>
        <w:rPr>
          <w:rFonts w:ascii="Times New Roman" w:hAnsi="Times New Roman" w:eastAsia="Times New Roman"/>
          <w:b w:val="0"/>
          <w:i w:val="0"/>
          <w:sz w:val="22"/>
        </w:rPr>
        <w:t>1.</w:t>
        <w:tab/>
        <w:t>Organizátorom ocenenia je Národný inštitút vzdelávania a mládeže (ďalej ako</w:t>
        <w:br/>
        <w:t>„NIVaM“), Ševčenkova 11, 850 05 Bratislava prostredníctvom Odboru podpory</w:t>
        <w:br/>
        <w:t>neformálneho vzdelávania (ďalej len „organizátor“).</w:t>
      </w:r>
    </w:p>
    <w:p>
      <w:pPr>
        <w:spacing w:before="0" w:after="0" w:line="240" w:lineRule="auto"/>
        <w:ind w:left="397" w:hanging="397"/>
      </w:pPr>
      <w:r>
        <w:rPr>
          <w:rFonts w:ascii="Times New Roman" w:hAnsi="Times New Roman" w:eastAsia="Times New Roman"/>
          <w:b w:val="0"/>
          <w:i w:val="0"/>
          <w:sz w:val="22"/>
        </w:rPr>
        <w:t>2.</w:t>
        <w:tab/>
        <w:t>Oficiálny názov ocenenia je Pracovník s mládežou roka na Slovensku (ďalej len</w:t>
        <w:br/>
        <w:t>„ocenenie“). Skrátený názov je „Pracovník s mládežou roka“ uvedený spolu s rokom,</w:t>
        <w:br/>
        <w:t>za ktorý je ocenenie udeľované.</w:t>
      </w:r>
    </w:p>
    <w:p>
      <w:pPr>
        <w:spacing w:before="0" w:after="0" w:line="240" w:lineRule="auto"/>
        <w:ind w:left="397" w:hanging="397"/>
      </w:pPr>
      <w:r>
        <w:rPr>
          <w:rFonts w:ascii="Times New Roman" w:hAnsi="Times New Roman" w:eastAsia="Times New Roman"/>
          <w:b w:val="0"/>
          <w:i w:val="0"/>
          <w:sz w:val="22"/>
        </w:rPr>
        <w:t>3.</w:t>
        <w:tab/>
        <w:t>Ocenením sa organizátor snaží poukázať na záslužnú prácu ľudí, ktorí celoročne pracujú</w:t>
        <w:br/>
        <w:t>s mládežníkmi na Slovensku a vytvárajú tak priestor na bezpečné a zmysluplné trávenie</w:t>
        <w:br/>
        <w:t xml:space="preserve">voľného času </w:t>
      </w:r>
      <w:r>
        <w:rPr>
          <w:rFonts w:ascii="Times New Roman" w:hAnsi="Times New Roman" w:eastAsia="Times New Roman"/>
          <w:b w:val="0"/>
          <w:i w:val="0"/>
          <w:sz w:val="15"/>
        </w:rPr>
        <w:t>(podľa § 2, písm. a) zákona č. 282/2008 Z. z. o podpore práce s mládežou a o zmene a doplnení zákona</w:t>
        <w:br/>
        <w:t>č. 131/2002 Z. z. o vysokých školách a o zmene a doplnení niektorých zákonov v znení neskorších predpisov je mládežník osoba,</w:t>
        <w:br/>
        <w:t>ktorá dovŕšila najmenej 12 rokov a najviac 30 rokov).</w:t>
      </w:r>
    </w:p>
    <w:p>
      <w:pPr>
        <w:spacing w:before="360" w:after="160" w:line="240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2"/>
        </w:rPr>
        <w:t>Článok I</w:t>
      </w:r>
    </w:p>
    <w:p>
      <w:pPr>
        <w:spacing w:before="0" w:after="120" w:line="240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2"/>
        </w:rPr>
        <w:t>Charakteristika ocenenia</w:t>
      </w:r>
    </w:p>
    <w:p>
      <w:pPr>
        <w:spacing w:before="0" w:after="0" w:line="240" w:lineRule="auto"/>
        <w:ind w:left="397" w:hanging="397"/>
      </w:pPr>
      <w:r>
        <w:rPr>
          <w:rFonts w:ascii="Times New Roman" w:hAnsi="Times New Roman" w:eastAsia="Times New Roman"/>
          <w:b w:val="0"/>
          <w:i w:val="0"/>
          <w:sz w:val="22"/>
        </w:rPr>
        <w:t>1.</w:t>
        <w:tab/>
        <w:t>Ocenenie Pracovník s mládežou roka je symbolické ocenenie určené pre osobnosti</w:t>
        <w:br/>
        <w:t>v oblasti práce s mládežou, ktorých pôsobenie bolo v danom kalendárnom roku</w:t>
        <w:br/>
        <w:t>výnimočné. Organizátor by takéto osobnosti rád vyzdvihol a priblížil ich pôsobenie</w:t>
        <w:br/>
        <w:t>verejnosti.</w:t>
      </w:r>
    </w:p>
    <w:p>
      <w:pPr>
        <w:spacing w:before="0" w:after="0" w:line="240" w:lineRule="auto"/>
        <w:ind w:left="397" w:hanging="397"/>
      </w:pPr>
      <w:r>
        <w:rPr>
          <w:rFonts w:ascii="Times New Roman" w:hAnsi="Times New Roman" w:eastAsia="Times New Roman"/>
          <w:b w:val="0"/>
          <w:i w:val="0"/>
          <w:sz w:val="22"/>
        </w:rPr>
        <w:t>2.</w:t>
        <w:tab/>
        <w:t>Udeľuje sa 10 ocenení, z toho 9 podľa regionálneho pôsobenie a jedno podľa hlasov</w:t>
        <w:br/>
        <w:t>publika. Ocenenie sa bude udeľovať v nasledovných kategóriách:</w:t>
      </w:r>
    </w:p>
    <w:p>
      <w:pPr>
        <w:spacing w:before="0" w:after="0" w:line="240" w:lineRule="auto"/>
        <w:ind w:left="850" w:hanging="255"/>
      </w:pPr>
      <w:r>
        <w:rPr>
          <w:rFonts w:ascii="Times New Roman" w:hAnsi="Times New Roman" w:eastAsia="Times New Roman"/>
          <w:b w:val="0"/>
          <w:i w:val="0"/>
          <w:sz w:val="22"/>
        </w:rPr>
        <w:t>a.</w:t>
        <w:tab/>
        <w:t>Osem pre pracovníkov s mládežou s krajským pôsobením - jedno ocenenie za</w:t>
        <w:br/>
        <w:t>každý kraj Slovenskej republiky (Bratislavský, Trnavský, Trenčiansky,</w:t>
        <w:br/>
        <w:t>Nitriansky, Žilinský, Banskobystrický, Prešovský, Košický).</w:t>
      </w:r>
    </w:p>
    <w:p>
      <w:pPr>
        <w:spacing w:before="0" w:after="0" w:line="240" w:lineRule="auto"/>
        <w:ind w:left="850" w:hanging="255"/>
      </w:pPr>
      <w:r>
        <w:rPr>
          <w:rFonts w:ascii="Times New Roman" w:hAnsi="Times New Roman" w:eastAsia="Times New Roman"/>
          <w:b w:val="0"/>
          <w:i w:val="0"/>
          <w:sz w:val="22"/>
        </w:rPr>
        <w:t>b.</w:t>
        <w:tab/>
        <w:t>Jedno pre pracovníka s mládežou s celoštátnym pôsobením.</w:t>
      </w:r>
    </w:p>
    <w:p>
      <w:pPr>
        <w:spacing w:before="0" w:after="0" w:line="240" w:lineRule="auto"/>
        <w:ind w:left="850" w:hanging="255"/>
      </w:pPr>
      <w:r>
        <w:rPr>
          <w:rFonts w:ascii="Times New Roman" w:hAnsi="Times New Roman" w:eastAsia="Times New Roman"/>
          <w:b w:val="0"/>
          <w:i w:val="0"/>
          <w:sz w:val="22"/>
        </w:rPr>
        <w:t>c.</w:t>
        <w:tab/>
        <w:t>Jedno pre víťaza verejnej ankety – cena publika.</w:t>
      </w:r>
    </w:p>
    <w:p>
      <w:pPr>
        <w:spacing w:before="280" w:after="160" w:line="240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2"/>
        </w:rPr>
        <w:t>Článok II</w:t>
      </w:r>
    </w:p>
    <w:p>
      <w:pPr>
        <w:spacing w:before="0" w:after="120" w:line="240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2"/>
        </w:rPr>
        <w:t>Nominácie</w:t>
      </w:r>
    </w:p>
    <w:p>
      <w:pPr>
        <w:spacing w:before="0" w:after="0" w:line="240" w:lineRule="auto"/>
        <w:ind w:left="397" w:hanging="397"/>
      </w:pPr>
      <w:r>
        <w:rPr>
          <w:rFonts w:ascii="Times New Roman" w:hAnsi="Times New Roman" w:eastAsia="Times New Roman"/>
          <w:b w:val="0"/>
          <w:i w:val="0"/>
          <w:sz w:val="22"/>
        </w:rPr>
        <w:t>1.</w:t>
        <w:tab/>
        <w:t>Vyhlasovanie ocenenia sa zverejňuje prostredníctvom webových stránok a sociálnych</w:t>
        <w:br/>
        <w:t>sietí organizátora.</w:t>
      </w:r>
    </w:p>
    <w:p>
      <w:pPr>
        <w:spacing w:before="0" w:after="0" w:line="240" w:lineRule="auto"/>
        <w:ind w:left="397" w:hanging="397"/>
      </w:pPr>
      <w:r>
        <w:rPr>
          <w:rFonts w:ascii="Times New Roman" w:hAnsi="Times New Roman" w:eastAsia="Times New Roman"/>
          <w:b w:val="0"/>
          <w:i w:val="0"/>
          <w:sz w:val="22"/>
        </w:rPr>
        <w:t>2.</w:t>
        <w:tab/>
        <w:t>Nominácie sa podávajú elektronickou formou prostredníctvom prihlášky na webovej</w:t>
        <w:br/>
        <w:t>stránke organizátora. Podaním prihlášky nominovaný súhlasí s nomináciou.</w:t>
      </w:r>
    </w:p>
    <w:p>
      <w:pPr>
        <w:spacing w:before="0" w:after="0" w:line="240" w:lineRule="auto"/>
        <w:ind w:left="397" w:hanging="397"/>
      </w:pPr>
      <w:r>
        <w:rPr>
          <w:rFonts w:ascii="Times New Roman" w:hAnsi="Times New Roman" w:eastAsia="Times New Roman"/>
          <w:b w:val="0"/>
          <w:i w:val="0"/>
          <w:sz w:val="22"/>
        </w:rPr>
        <w:t>3.</w:t>
        <w:tab/>
        <w:t>Počet nominácií v príslušnom ročníku nie je obmedzený.</w:t>
      </w:r>
    </w:p>
    <w:p>
      <w:r>
        <w:br w:type="page"/>
      </w:r>
    </w:p>
    <w:p>
      <w:pPr>
        <w:spacing w:before="0" w:after="40" w:line="240" w:lineRule="auto"/>
        <w:ind w:left="397" w:hanging="397"/>
      </w:pPr>
      <w:r>
        <w:rPr>
          <w:rFonts w:ascii="Times New Roman" w:hAnsi="Times New Roman" w:eastAsia="Times New Roman"/>
          <w:b w:val="0"/>
          <w:i w:val="0"/>
          <w:sz w:val="22"/>
        </w:rPr>
        <w:t>4.</w:t>
        <w:tab/>
        <w:t>Nominovaný musí spĺňať nasledovné požiadavky:</w:t>
      </w:r>
    </w:p>
    <w:p>
      <w:pPr>
        <w:spacing w:before="0" w:after="0" w:line="240" w:lineRule="auto"/>
        <w:ind w:left="850" w:hanging="255"/>
      </w:pPr>
      <w:r>
        <w:rPr>
          <w:rFonts w:ascii="Times New Roman" w:hAnsi="Times New Roman" w:eastAsia="Times New Roman"/>
          <w:b w:val="0"/>
          <w:i w:val="0"/>
          <w:sz w:val="22"/>
        </w:rPr>
        <w:t>a.</w:t>
        <w:tab/>
        <w:t>je fyzickou osobou spadajúcou pod charakteristiku Pracovník s mládežou</w:t>
        <w:br/>
        <w:t>v zmysle § 2, písm. e) zákona č. 282/2008 Z. z..</w:t>
      </w:r>
    </w:p>
    <w:p>
      <w:pPr>
        <w:spacing w:before="0" w:after="0" w:line="240" w:lineRule="auto"/>
        <w:ind w:left="850" w:hanging="255"/>
      </w:pPr>
      <w:r>
        <w:rPr>
          <w:rFonts w:ascii="Times New Roman" w:hAnsi="Times New Roman" w:eastAsia="Times New Roman"/>
          <w:b w:val="0"/>
          <w:i w:val="0"/>
          <w:sz w:val="22"/>
        </w:rPr>
        <w:t>b.</w:t>
        <w:tab/>
        <w:t>pôsobil v oblasti práce s mládežou počas celého roka, za ktoré sa ocenenie</w:t>
        <w:br/>
        <w:t>odovzdáva.</w:t>
      </w:r>
    </w:p>
    <w:p>
      <w:pPr>
        <w:spacing w:before="0" w:after="0" w:line="240" w:lineRule="auto"/>
        <w:ind w:left="850" w:hanging="255"/>
      </w:pPr>
      <w:r>
        <w:rPr>
          <w:rFonts w:ascii="Times New Roman" w:hAnsi="Times New Roman" w:eastAsia="Times New Roman"/>
          <w:b w:val="0"/>
          <w:i w:val="0"/>
          <w:sz w:val="22"/>
        </w:rPr>
        <w:t>c.</w:t>
        <w:tab/>
        <w:t>práca nominovaného má preukázateľne pozitívny dopad na životy mládežníkov,</w:t>
        <w:br/>
        <w:t>s ktorými pracuje a/alebo na oblasť práce s mládežou v danom regióne.</w:t>
      </w:r>
    </w:p>
    <w:p>
      <w:pPr>
        <w:spacing w:before="360" w:after="160" w:line="240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2"/>
        </w:rPr>
        <w:t>Článok III</w:t>
      </w:r>
    </w:p>
    <w:p>
      <w:pPr>
        <w:spacing w:before="0" w:after="120" w:line="240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2"/>
        </w:rPr>
        <w:t>Hodnotenie nominácií</w:t>
      </w:r>
    </w:p>
    <w:p>
      <w:pPr>
        <w:spacing w:before="0" w:after="0" w:line="240" w:lineRule="auto"/>
        <w:ind w:left="397" w:hanging="397"/>
      </w:pPr>
      <w:r>
        <w:rPr>
          <w:rFonts w:ascii="Times New Roman" w:hAnsi="Times New Roman" w:eastAsia="Times New Roman"/>
          <w:b w:val="0"/>
          <w:i w:val="0"/>
          <w:sz w:val="22"/>
        </w:rPr>
        <w:t>1.</w:t>
        <w:tab/>
        <w:t>Nominácie budú organizátorom ocenenia posúdene v súlade s týmto štatútom.</w:t>
      </w:r>
    </w:p>
    <w:p>
      <w:pPr>
        <w:spacing w:before="0" w:after="0" w:line="240" w:lineRule="auto"/>
        <w:ind w:left="397" w:hanging="397"/>
      </w:pPr>
      <w:r>
        <w:rPr>
          <w:rFonts w:ascii="Times New Roman" w:hAnsi="Times New Roman" w:eastAsia="Times New Roman"/>
          <w:b w:val="0"/>
          <w:i w:val="0"/>
          <w:sz w:val="22"/>
        </w:rPr>
        <w:t>2.</w:t>
        <w:tab/>
        <w:t>Na ocenenie nemôžu byť nominovaní pracovníci organizátora ani pracovníci alebo</w:t>
        <w:br/>
        <w:t>zástupcovia partnerov ocenenia. V prípade, ak takáto nominácia bude organizátorovi</w:t>
        <w:br/>
        <w:t>podaná, organizátor ju nebude akceptovať.</w:t>
      </w:r>
    </w:p>
    <w:p>
      <w:pPr>
        <w:spacing w:before="0" w:after="0" w:line="240" w:lineRule="auto"/>
        <w:ind w:left="397" w:hanging="397"/>
      </w:pPr>
      <w:r>
        <w:rPr>
          <w:rFonts w:ascii="Times New Roman" w:hAnsi="Times New Roman" w:eastAsia="Times New Roman"/>
          <w:b w:val="0"/>
          <w:i w:val="0"/>
          <w:sz w:val="22"/>
        </w:rPr>
        <w:t>3.</w:t>
        <w:tab/>
        <w:t>Zo všetkých nominácií vytvorí organizátor zoznam finalistov, ktorí budú následne</w:t>
        <w:br/>
        <w:t>hodnotení odbornou komisiou zostavenou pre každý ročník nanovo.</w:t>
      </w:r>
    </w:p>
    <w:p>
      <w:pPr>
        <w:spacing w:before="520" w:after="160" w:line="240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2"/>
        </w:rPr>
        <w:t>Článok IV</w:t>
      </w:r>
    </w:p>
    <w:p>
      <w:pPr>
        <w:spacing w:before="0" w:after="120" w:line="240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2"/>
        </w:rPr>
        <w:t>Výber laureátov</w:t>
      </w:r>
    </w:p>
    <w:p>
      <w:pPr>
        <w:spacing w:before="0" w:after="0" w:line="240" w:lineRule="auto"/>
        <w:ind w:left="397" w:hanging="397"/>
      </w:pPr>
      <w:r>
        <w:rPr>
          <w:rFonts w:ascii="Times New Roman" w:hAnsi="Times New Roman" w:eastAsia="Times New Roman"/>
          <w:b w:val="0"/>
          <w:i w:val="0"/>
          <w:sz w:val="22"/>
        </w:rPr>
        <w:t>1.</w:t>
        <w:tab/>
        <w:t>Laureátov ocenení za jednotlivé kraje Slovenskej republiky a laureáta s celoštátnym</w:t>
        <w:br/>
        <w:t>pôsobením vyberá zo zoznamu finalistov odborná komisia, ktorá je zostavená pre každý</w:t>
        <w:br/>
        <w:t>ročník nanovo.</w:t>
      </w:r>
    </w:p>
    <w:p>
      <w:pPr>
        <w:spacing w:before="0" w:after="0" w:line="240" w:lineRule="auto"/>
        <w:ind w:left="397" w:hanging="397"/>
      </w:pPr>
      <w:r>
        <w:rPr>
          <w:rFonts w:ascii="Times New Roman" w:hAnsi="Times New Roman" w:eastAsia="Times New Roman"/>
          <w:b w:val="0"/>
          <w:i w:val="0"/>
          <w:sz w:val="22"/>
        </w:rPr>
        <w:t>2.</w:t>
        <w:tab/>
        <w:t>Odborná komisia pozostáva z piatich členov, ktorých pre každý rok nominuje</w:t>
        <w:br/>
        <w:t>organizátor ocenenia v nasledovnom zložení:</w:t>
      </w:r>
    </w:p>
    <w:p>
      <w:pPr>
        <w:spacing w:before="0" w:after="0" w:line="240" w:lineRule="auto"/>
        <w:ind w:left="850" w:hanging="255"/>
      </w:pPr>
      <w:r>
        <w:rPr>
          <w:rFonts w:ascii="Times New Roman" w:hAnsi="Times New Roman" w:eastAsia="Times New Roman"/>
          <w:b w:val="0"/>
          <w:i w:val="0"/>
          <w:sz w:val="22"/>
        </w:rPr>
        <w:t>a.</w:t>
        <w:tab/>
        <w:t>dvaja zástupcovia organizátora,</w:t>
      </w:r>
    </w:p>
    <w:p>
      <w:pPr>
        <w:spacing w:before="0" w:after="0" w:line="240" w:lineRule="auto"/>
        <w:ind w:left="850" w:hanging="255"/>
      </w:pPr>
      <w:r>
        <w:rPr>
          <w:rFonts w:ascii="Times New Roman" w:hAnsi="Times New Roman" w:eastAsia="Times New Roman"/>
          <w:b w:val="0"/>
          <w:i w:val="0"/>
          <w:sz w:val="22"/>
        </w:rPr>
        <w:t>b.</w:t>
        <w:tab/>
        <w:t>jeden zástupca Rady mládeže Slovenska,</w:t>
      </w:r>
    </w:p>
    <w:p>
      <w:pPr>
        <w:spacing w:before="0" w:after="0" w:line="240" w:lineRule="auto"/>
        <w:ind w:left="850" w:hanging="255"/>
      </w:pPr>
      <w:r>
        <w:rPr>
          <w:rFonts w:ascii="Times New Roman" w:hAnsi="Times New Roman" w:eastAsia="Times New Roman"/>
          <w:b w:val="0"/>
          <w:i w:val="0"/>
          <w:sz w:val="22"/>
        </w:rPr>
        <w:t>c.</w:t>
        <w:tab/>
        <w:t>jeden zástupca Ministerstva školstva, výskumu, vývoja a mládeže Slovenskej</w:t>
        <w:br/>
        <w:t>republiky,</w:t>
      </w:r>
    </w:p>
    <w:p>
      <w:pPr>
        <w:spacing w:before="0" w:after="0" w:line="240" w:lineRule="auto"/>
        <w:ind w:left="850" w:hanging="255"/>
      </w:pPr>
      <w:r>
        <w:rPr>
          <w:rFonts w:ascii="Times New Roman" w:hAnsi="Times New Roman" w:eastAsia="Times New Roman"/>
          <w:b w:val="0"/>
          <w:i w:val="0"/>
          <w:sz w:val="22"/>
        </w:rPr>
        <w:t>d.</w:t>
        <w:tab/>
        <w:t>mládežnícky delegát pri OSN.</w:t>
      </w:r>
    </w:p>
    <w:p>
      <w:pPr>
        <w:spacing w:before="0" w:after="0" w:line="240" w:lineRule="auto"/>
        <w:ind w:left="397" w:hanging="397"/>
      </w:pPr>
      <w:r>
        <w:rPr>
          <w:rFonts w:ascii="Times New Roman" w:hAnsi="Times New Roman" w:eastAsia="Times New Roman"/>
          <w:b w:val="0"/>
          <w:i w:val="0"/>
          <w:sz w:val="22"/>
        </w:rPr>
        <w:t>3.</w:t>
        <w:tab/>
        <w:t>Nomináciu dvoch zástupcov organizátora nominuje riaditeľ odboru podpory</w:t>
        <w:br/>
        <w:t>neformálneho vzdelávania a školského športu a/alebo vedúci Oddelenia podpory práce</w:t>
        <w:br/>
        <w:t>s mládežou. Predsedu odbornej komisie určí z dvoch zástupcov organizátora riaditeľ</w:t>
        <w:br/>
        <w:t>odboru podpory neformálneho vzdelávania a školského športu.</w:t>
      </w:r>
    </w:p>
    <w:p>
      <w:pPr>
        <w:spacing w:before="0" w:after="0" w:line="240" w:lineRule="auto"/>
        <w:ind w:left="397" w:hanging="397"/>
      </w:pPr>
      <w:r>
        <w:rPr>
          <w:rFonts w:ascii="Times New Roman" w:hAnsi="Times New Roman" w:eastAsia="Times New Roman"/>
          <w:b w:val="0"/>
          <w:i w:val="0"/>
          <w:sz w:val="22"/>
        </w:rPr>
        <w:t>4.</w:t>
        <w:tab/>
        <w:t>Predseda odbornej komisie zabezpečuje administratívny a organizačný chod zasadnutia</w:t>
        <w:br/>
        <w:t>odbornej komisie.</w:t>
      </w:r>
    </w:p>
    <w:p>
      <w:pPr>
        <w:spacing w:before="0" w:after="0" w:line="240" w:lineRule="auto"/>
        <w:ind w:left="397" w:hanging="397"/>
      </w:pPr>
      <w:r>
        <w:rPr>
          <w:rFonts w:ascii="Times New Roman" w:hAnsi="Times New Roman" w:eastAsia="Times New Roman"/>
          <w:b w:val="0"/>
          <w:i w:val="0"/>
          <w:sz w:val="22"/>
        </w:rPr>
        <w:t>5.</w:t>
        <w:tab/>
        <w:t>Odborná komisia je uznášaniaschopná, ak je na jej rokovaní prítomná aspoň</w:t>
        <w:br/>
        <w:t>nadpolovičná väčšina všetkých členov komisie.</w:t>
      </w:r>
    </w:p>
    <w:p>
      <w:pPr>
        <w:spacing w:before="0" w:after="0" w:line="240" w:lineRule="auto"/>
        <w:ind w:left="397" w:hanging="397"/>
      </w:pPr>
      <w:r>
        <w:rPr>
          <w:rFonts w:ascii="Times New Roman" w:hAnsi="Times New Roman" w:eastAsia="Times New Roman"/>
          <w:b w:val="0"/>
          <w:i w:val="0"/>
          <w:sz w:val="22"/>
        </w:rPr>
        <w:t>6.</w:t>
        <w:tab/>
        <w:t>Odborná komisia rozhoduje o výbere laureátov hlasovaním. Na prijatie rozhodnutia je</w:t>
        <w:br/>
        <w:t>potrebná nadpolovičná väčšina hlasov prítomných členov komisie. V prípade rovnosti</w:t>
        <w:br/>
        <w:t>hlasov rozhoduje hlas predsedu komisie.</w:t>
      </w:r>
    </w:p>
    <w:p>
      <w:r>
        <w:br w:type="page"/>
      </w:r>
    </w:p>
    <w:p>
      <w:pPr>
        <w:spacing w:before="0" w:after="0" w:line="240" w:lineRule="auto"/>
        <w:ind w:left="397" w:hanging="397"/>
      </w:pPr>
      <w:r>
        <w:rPr>
          <w:rFonts w:ascii="Times New Roman" w:hAnsi="Times New Roman" w:eastAsia="Times New Roman"/>
          <w:b w:val="0"/>
          <w:i w:val="0"/>
          <w:sz w:val="22"/>
        </w:rPr>
        <w:t>7.</w:t>
        <w:tab/>
        <w:t>V odôvodnených prípadoch môže predseda komisia vyhlásiť hlasovanie per rollam</w:t>
        <w:br/>
        <w:t>(elektronicky).</w:t>
      </w:r>
    </w:p>
    <w:p>
      <w:pPr>
        <w:spacing w:before="0" w:after="0" w:line="240" w:lineRule="auto"/>
        <w:ind w:left="397" w:hanging="397"/>
      </w:pPr>
      <w:r>
        <w:rPr>
          <w:rFonts w:ascii="Times New Roman" w:hAnsi="Times New Roman" w:eastAsia="Times New Roman"/>
          <w:b w:val="0"/>
          <w:i w:val="0"/>
          <w:sz w:val="22"/>
        </w:rPr>
        <w:t>8.</w:t>
        <w:tab/>
        <w:t>Zo zasadnutia/ hlasovania sa vyhotovuje zápisnica, ktorá je následne archivovaná v</w:t>
        <w:br/>
        <w:t>súlade s internými predpismi NIVaM. Zápisnicu overuje vedúci Oddelenia podpory</w:t>
        <w:br/>
        <w:t>práce s mládežou Odboru podpory neformálneho vzdelávania a školského športu.</w:t>
      </w:r>
    </w:p>
    <w:p>
      <w:pPr>
        <w:spacing w:before="0" w:after="0" w:line="240" w:lineRule="auto"/>
        <w:ind w:left="397" w:hanging="397"/>
      </w:pPr>
      <w:r>
        <w:rPr>
          <w:rFonts w:ascii="Times New Roman" w:hAnsi="Times New Roman" w:eastAsia="Times New Roman"/>
          <w:b w:val="0"/>
          <w:i w:val="0"/>
          <w:sz w:val="22"/>
        </w:rPr>
        <w:t>9.</w:t>
        <w:tab/>
        <w:t>Členstvo v komisií je čestné a dobrovoľné, bez nároku na finančnú odmenu. Členovia</w:t>
        <w:br/>
        <w:t>komisie nemôžu byť v konflikte záujmov s nominovanými finalistami. V prípade, ak sa</w:t>
        <w:br/>
        <w:t>rozhoduje o nominovanom, voči ktorému je člen komisie v konflikte záujmov, tento</w:t>
        <w:br/>
        <w:t>člen sa hlasovania nezúčastňuje a jeho hlas sa do kvóra nezapočítava.</w:t>
      </w:r>
    </w:p>
    <w:p>
      <w:pPr>
        <w:spacing w:before="0" w:after="0" w:line="240" w:lineRule="auto"/>
        <w:ind w:left="397" w:hanging="397"/>
      </w:pPr>
      <w:r>
        <w:rPr>
          <w:rFonts w:ascii="Times New Roman" w:hAnsi="Times New Roman" w:eastAsia="Times New Roman"/>
          <w:b w:val="0"/>
          <w:i w:val="0"/>
          <w:sz w:val="22"/>
        </w:rPr>
        <w:t>10.</w:t>
        <w:tab/>
        <w:t>Výber laureátov je na základe nasledovných kritérií:</w:t>
      </w:r>
    </w:p>
    <w:p>
      <w:pPr>
        <w:spacing w:before="0" w:after="0" w:line="240" w:lineRule="auto"/>
        <w:ind w:left="850" w:hanging="255"/>
      </w:pPr>
      <w:r>
        <w:rPr>
          <w:rFonts w:ascii="Times New Roman" w:hAnsi="Times New Roman" w:eastAsia="Times New Roman"/>
          <w:b w:val="0"/>
          <w:i w:val="0"/>
          <w:sz w:val="22"/>
        </w:rPr>
        <w:t>a.</w:t>
        <w:tab/>
        <w:t>dopad činnosti,</w:t>
      </w:r>
    </w:p>
    <w:p>
      <w:pPr>
        <w:spacing w:before="0" w:after="0" w:line="240" w:lineRule="auto"/>
        <w:ind w:left="850" w:hanging="255"/>
      </w:pPr>
      <w:r>
        <w:rPr>
          <w:rFonts w:ascii="Times New Roman" w:hAnsi="Times New Roman" w:eastAsia="Times New Roman"/>
          <w:b w:val="0"/>
          <w:i w:val="0"/>
          <w:sz w:val="22"/>
        </w:rPr>
        <w:t>b.</w:t>
        <w:tab/>
        <w:t>osobné zapojenie,</w:t>
      </w:r>
    </w:p>
    <w:p>
      <w:pPr>
        <w:spacing w:before="0" w:after="0" w:line="240" w:lineRule="auto"/>
        <w:ind w:left="850" w:hanging="255"/>
      </w:pPr>
      <w:r>
        <w:rPr>
          <w:rFonts w:ascii="Times New Roman" w:hAnsi="Times New Roman" w:eastAsia="Times New Roman"/>
          <w:b w:val="0"/>
          <w:i w:val="0"/>
          <w:sz w:val="22"/>
        </w:rPr>
        <w:t>c.</w:t>
        <w:tab/>
        <w:t>participácia (zapojenie mládeže),</w:t>
      </w:r>
    </w:p>
    <w:p>
      <w:pPr>
        <w:spacing w:before="0" w:after="0" w:line="240" w:lineRule="auto"/>
        <w:ind w:left="850" w:hanging="255"/>
      </w:pPr>
      <w:r>
        <w:rPr>
          <w:rFonts w:ascii="Times New Roman" w:hAnsi="Times New Roman" w:eastAsia="Times New Roman"/>
          <w:b w:val="0"/>
          <w:i w:val="0"/>
          <w:sz w:val="22"/>
        </w:rPr>
        <w:t>d.</w:t>
        <w:tab/>
        <w:t>udržateľnosť.</w:t>
      </w:r>
    </w:p>
    <w:p>
      <w:pPr>
        <w:spacing w:before="0" w:after="0" w:line="240" w:lineRule="auto"/>
        <w:ind w:left="397" w:hanging="397"/>
      </w:pPr>
      <w:r>
        <w:rPr>
          <w:rFonts w:ascii="Times New Roman" w:hAnsi="Times New Roman" w:eastAsia="Times New Roman"/>
          <w:b w:val="0"/>
          <w:i w:val="0"/>
          <w:sz w:val="22"/>
        </w:rPr>
        <w:t>11.</w:t>
        <w:tab/>
        <w:t>Laureáta ceny publika vyberajú ľudia zo zoznamu finalistov vo verejnom hlasovaní</w:t>
        <w:br/>
        <w:t>prostredníctvom elektronického dotazníka zverejneného na stránkach organizátora.</w:t>
      </w:r>
    </w:p>
    <w:p>
      <w:pPr>
        <w:spacing w:before="560" w:after="160" w:line="240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2"/>
        </w:rPr>
        <w:t>Článok V</w:t>
      </w:r>
    </w:p>
    <w:p>
      <w:pPr>
        <w:spacing w:before="0" w:after="120" w:line="240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2"/>
        </w:rPr>
        <w:t>Ocenenie</w:t>
      </w:r>
    </w:p>
    <w:p>
      <w:pPr>
        <w:spacing w:before="0" w:after="0" w:line="240" w:lineRule="auto"/>
        <w:ind w:left="397" w:hanging="397"/>
      </w:pPr>
      <w:r>
        <w:rPr>
          <w:rFonts w:ascii="Times New Roman" w:hAnsi="Times New Roman" w:eastAsia="Times New Roman"/>
          <w:b w:val="0"/>
          <w:i w:val="0"/>
          <w:sz w:val="22"/>
        </w:rPr>
        <w:t>1.</w:t>
        <w:tab/>
        <w:t>Laureáti ocenenia „Pracovník s mládežou“ budú ocenení diplomom a prípadnými</w:t>
        <w:br/>
        <w:t>nefinančnými odmenami.</w:t>
      </w:r>
    </w:p>
    <w:p>
      <w:pPr>
        <w:spacing w:before="0" w:after="0" w:line="240" w:lineRule="auto"/>
        <w:ind w:left="397" w:hanging="397"/>
      </w:pPr>
      <w:r>
        <w:rPr>
          <w:rFonts w:ascii="Times New Roman" w:hAnsi="Times New Roman" w:eastAsia="Times New Roman"/>
          <w:b w:val="0"/>
          <w:i w:val="0"/>
          <w:sz w:val="22"/>
        </w:rPr>
        <w:t>2.</w:t>
        <w:tab/>
        <w:t>Ocenenie nie je spojené s finančnou odmenou a nie je na ňu ani žiaden právny nárok.</w:t>
      </w:r>
    </w:p>
    <w:p>
      <w:pPr>
        <w:spacing w:before="0" w:after="0" w:line="240" w:lineRule="auto"/>
        <w:ind w:left="397" w:hanging="397"/>
      </w:pPr>
      <w:r>
        <w:rPr>
          <w:rFonts w:ascii="Times New Roman" w:hAnsi="Times New Roman" w:eastAsia="Times New Roman"/>
          <w:b w:val="0"/>
          <w:i w:val="0"/>
          <w:sz w:val="22"/>
        </w:rPr>
        <w:t>3.</w:t>
        <w:tab/>
        <w:t>Organizátor si vyhradzuje právo ocenenie kedykoľvek odňať, ak sa preukáže, že</w:t>
        <w:br/>
        <w:t>dôvody, pre ktoré bolo ocenenie udelené neboli pravdivé, alebo ak bude laureát po</w:t>
        <w:br/>
        <w:t>udelení ocenenia právoplatne odsúdený za úmyselný trestný čin.</w:t>
      </w:r>
    </w:p>
    <w:p>
      <w:pPr>
        <w:spacing w:before="600" w:after="160" w:line="240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2"/>
        </w:rPr>
        <w:t>Článok VI</w:t>
      </w:r>
    </w:p>
    <w:p>
      <w:pPr>
        <w:spacing w:before="0" w:after="120" w:line="240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2"/>
        </w:rPr>
        <w:t>Vyhlásenie laureátov a odovzdanie ocenenia</w:t>
      </w:r>
    </w:p>
    <w:p>
      <w:pPr>
        <w:spacing w:before="0" w:after="0" w:line="240" w:lineRule="auto"/>
        <w:ind w:left="397" w:hanging="397"/>
      </w:pPr>
      <w:r>
        <w:rPr>
          <w:rFonts w:ascii="Times New Roman" w:hAnsi="Times New Roman" w:eastAsia="Times New Roman"/>
          <w:b w:val="0"/>
          <w:i w:val="0"/>
          <w:sz w:val="22"/>
        </w:rPr>
        <w:t>1.</w:t>
        <w:tab/>
        <w:t>Organizátor udeľuje ocenenie najviac jedenkrát v kalendárnom roku. Organizátor si</w:t>
        <w:br/>
        <w:t>vyhradzuje právo v príslušnom roku ocenenie nevyhlásiť alebo neudeliť.</w:t>
      </w:r>
    </w:p>
    <w:p>
      <w:pPr>
        <w:spacing w:before="0" w:after="0" w:line="240" w:lineRule="auto"/>
        <w:ind w:left="397" w:hanging="397"/>
      </w:pPr>
      <w:r>
        <w:rPr>
          <w:rFonts w:ascii="Times New Roman" w:hAnsi="Times New Roman" w:eastAsia="Times New Roman"/>
          <w:b w:val="0"/>
          <w:i w:val="0"/>
          <w:sz w:val="22"/>
        </w:rPr>
        <w:t>2.</w:t>
        <w:tab/>
        <w:t>Organizátor vyhlasuje a oceňuje laureátov na verejnom podujatí.</w:t>
      </w:r>
    </w:p>
    <w:p>
      <w:pPr>
        <w:spacing w:before="0" w:after="0" w:line="240" w:lineRule="auto"/>
        <w:ind w:left="397" w:hanging="397"/>
      </w:pPr>
      <w:r>
        <w:rPr>
          <w:rFonts w:ascii="Times New Roman" w:hAnsi="Times New Roman" w:eastAsia="Times New Roman"/>
          <w:b w:val="0"/>
          <w:i w:val="0"/>
          <w:sz w:val="22"/>
        </w:rPr>
        <w:t>3.</w:t>
        <w:tab/>
        <w:t>Laureáti ocenenia budú po verejnom podujatí zverejnení aj na webových stránkach</w:t>
        <w:br/>
        <w:t>a/alebo sociálnych sieťach organizátora.</w:t>
      </w:r>
    </w:p>
    <w:p>
      <w:pPr>
        <w:spacing w:before="560" w:after="160" w:line="240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2"/>
        </w:rPr>
        <w:t>Článok VII</w:t>
      </w:r>
    </w:p>
    <w:p>
      <w:pPr>
        <w:spacing w:before="0" w:after="120" w:line="240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2"/>
        </w:rPr>
        <w:t>Záverečné ustanovenia</w:t>
      </w:r>
    </w:p>
    <w:p>
      <w:pPr>
        <w:spacing w:before="0" w:after="0" w:line="240" w:lineRule="auto"/>
        <w:ind w:left="397" w:hanging="397"/>
      </w:pPr>
      <w:r>
        <w:rPr>
          <w:rFonts w:ascii="Times New Roman" w:hAnsi="Times New Roman" w:eastAsia="Times New Roman"/>
          <w:b w:val="0"/>
          <w:i w:val="0"/>
          <w:sz w:val="22"/>
        </w:rPr>
        <w:t>1.</w:t>
        <w:tab/>
        <w:t>Tento štatút nadobúda platnosť a účinnosť dňom jeho schválenia generálnym riaditeľom</w:t>
        <w:br/>
        <w:t>NIVaM.</w:t>
      </w:r>
    </w:p>
    <w:p>
      <w:r>
        <w:br w:type="page"/>
      </w:r>
    </w:p>
    <w:p>
      <w:pPr>
        <w:spacing w:before="80" w:after="600" w:line="240" w:lineRule="auto"/>
        <w:ind w:left="397" w:hanging="397"/>
      </w:pPr>
      <w:r>
        <w:rPr>
          <w:rFonts w:ascii="Times New Roman" w:hAnsi="Times New Roman" w:eastAsia="Times New Roman"/>
          <w:b w:val="0"/>
          <w:i w:val="0"/>
          <w:sz w:val="22"/>
        </w:rPr>
        <w:t>2.</w:t>
        <w:tab/>
        <w:t>Zmeny a dodatky štatútu schvaľuje generálny riaditeľ NIVaM.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479"/>
        <w:gridCol w:w="4479"/>
      </w:tblGrid>
      <w:tr>
        <w:tc>
          <w:tcPr>
            <w:tcW w:type="dxa" w:w="464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25 FEB. 2026</w:t>
            </w:r>
          </w:p>
        </w:tc>
        <w:tc>
          <w:tcPr>
            <w:tcW w:type="dxa" w:w="4649"/>
            <w:vAlign w:val="center"/>
          </w:tcPr>
          <w:p>
            <w:pPr>
              <w:spacing w:after="0" w:line="312" w:lineRule="auto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</w:r>
          </w:p>
        </w:tc>
      </w:tr>
      <w:tr>
        <w:tc>
          <w:tcPr>
            <w:tcW w:type="dxa" w:w="4649"/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V Bratislave dňa ................................</w:t>
            </w:r>
          </w:p>
        </w:tc>
        <w:tc>
          <w:tcPr>
            <w:tcW w:type="dxa" w:w="4649"/>
            <w:vAlign w:val="center"/>
          </w:tcPr>
          <w:p>
            <w:pPr>
              <w:spacing w:after="0" w:line="312" w:lineRule="auto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</w:r>
          </w:p>
        </w:tc>
      </w:tr>
      <w:tr>
        <w:tc>
          <w:tcPr>
            <w:tcW w:type="dxa" w:w="4649"/>
            <w:vAlign w:val="center"/>
          </w:tcPr>
          <w:p>
            <w:pPr>
              <w:spacing w:after="0" w:line="312" w:lineRule="auto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</w:r>
          </w:p>
        </w:tc>
        <w:tc>
          <w:tcPr>
            <w:tcW w:type="dxa" w:w="464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PhDr. Romana Kanovská</w:t>
              <w:br/>
              <w:t>generálna riaditeľka NIVaM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1304" w:right="1474" w:bottom="964" w:left="147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Times New Roman" w:hAnsi="Times New Roman" w:eastAsia="Times New Roman"/>
        <w:b w:val="0"/>
        <w:i w:val="0"/>
        <w:sz w:val="22"/>
      </w:rPr>
      <w:fldChar w:fldCharType="begin"/>
      <w:instrText xml:space="preserve">PAGE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