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F472" w14:textId="71B263BA" w:rsidR="00EE308E" w:rsidRPr="0049721E" w:rsidRDefault="00963849" w:rsidP="0049721E">
      <w:pPr>
        <w:pStyle w:val="Nadpis1"/>
        <w:jc w:val="center"/>
        <w:rPr>
          <w:b/>
          <w:bCs/>
          <w:sz w:val="28"/>
          <w:szCs w:val="28"/>
        </w:rPr>
      </w:pPr>
      <w:r w:rsidRPr="0049721E">
        <w:rPr>
          <w:b/>
          <w:bCs/>
          <w:sz w:val="28"/>
          <w:szCs w:val="28"/>
        </w:rPr>
        <w:t>Porovnávacia a</w:t>
      </w:r>
      <w:r w:rsidR="008974FA" w:rsidRPr="0049721E">
        <w:rPr>
          <w:b/>
          <w:bCs/>
          <w:sz w:val="28"/>
          <w:szCs w:val="28"/>
        </w:rPr>
        <w:t xml:space="preserve">nalýza stavu akademických knižníc </w:t>
      </w:r>
      <w:r w:rsidR="006E430A" w:rsidRPr="0049721E">
        <w:rPr>
          <w:b/>
          <w:bCs/>
          <w:sz w:val="28"/>
          <w:szCs w:val="28"/>
        </w:rPr>
        <w:t xml:space="preserve">SR </w:t>
      </w:r>
      <w:r w:rsidR="008974FA" w:rsidRPr="0049721E">
        <w:rPr>
          <w:b/>
          <w:bCs/>
          <w:sz w:val="28"/>
          <w:szCs w:val="28"/>
        </w:rPr>
        <w:t>za rok</w:t>
      </w:r>
      <w:r w:rsidR="0086460E" w:rsidRPr="0049721E">
        <w:rPr>
          <w:b/>
          <w:bCs/>
          <w:sz w:val="28"/>
          <w:szCs w:val="28"/>
        </w:rPr>
        <w:t>y</w:t>
      </w:r>
      <w:r w:rsidR="008974FA" w:rsidRPr="0049721E">
        <w:rPr>
          <w:b/>
          <w:bCs/>
          <w:sz w:val="28"/>
          <w:szCs w:val="28"/>
        </w:rPr>
        <w:t xml:space="preserve"> 20</w:t>
      </w:r>
      <w:r w:rsidR="0086460E" w:rsidRPr="0049721E">
        <w:rPr>
          <w:b/>
          <w:bCs/>
          <w:sz w:val="28"/>
          <w:szCs w:val="28"/>
        </w:rPr>
        <w:t>23 – 2025</w:t>
      </w:r>
    </w:p>
    <w:p w14:paraId="08AA4F41" w14:textId="4BCAE083" w:rsidR="008974FA" w:rsidRPr="009363C7" w:rsidRDefault="008974FA" w:rsidP="009363C7">
      <w:pPr>
        <w:jc w:val="center"/>
        <w:rPr>
          <w:b/>
          <w:bCs/>
        </w:rPr>
      </w:pPr>
      <w:r w:rsidRPr="009363C7">
        <w:rPr>
          <w:b/>
          <w:bCs/>
        </w:rPr>
        <w:t>(na základe štatistického zisťovania o akademických knižniciach SR)</w:t>
      </w:r>
    </w:p>
    <w:p w14:paraId="4D5E4A3B" w14:textId="77777777" w:rsidR="00833D63" w:rsidRDefault="00833D63" w:rsidP="00BD03AD">
      <w:pPr>
        <w:jc w:val="both"/>
      </w:pPr>
    </w:p>
    <w:p w14:paraId="1D6B2E38" w14:textId="6E1073F1" w:rsidR="00B11D6C" w:rsidRDefault="002173BA" w:rsidP="00BD03AD">
      <w:pPr>
        <w:jc w:val="both"/>
      </w:pPr>
      <w:r>
        <w:t xml:space="preserve">Štatistické zisťovanie dáva možnosť posúdenia činnosti akademických knižníc </w:t>
      </w:r>
      <w:r w:rsidR="00E3157E">
        <w:t xml:space="preserve">(ďalej AK) </w:t>
      </w:r>
      <w:r>
        <w:t>z hľadiska mnohých ukazovateľov, ktoré mapujú rôzne oblasti ich fungovania.</w:t>
      </w:r>
      <w:r w:rsidR="00555374">
        <w:t xml:space="preserve"> Zabezpečuje ho Centrum vedecko</w:t>
      </w:r>
      <w:r w:rsidR="00DE31C1">
        <w:t xml:space="preserve">-technických informácií SR - </w:t>
      </w:r>
      <w:r w:rsidR="00CA641B">
        <w:t>o</w:t>
      </w:r>
      <w:r w:rsidR="00DE31C1" w:rsidRPr="00555374">
        <w:t>dbor štatistiky, výskumu a</w:t>
      </w:r>
      <w:r w:rsidR="00DE31C1" w:rsidRPr="00DE31C1">
        <w:t> </w:t>
      </w:r>
      <w:r w:rsidR="00DE31C1" w:rsidRPr="00555374">
        <w:t>analýz</w:t>
      </w:r>
      <w:r w:rsidR="00DE31C1" w:rsidRPr="00DE31C1">
        <w:t xml:space="preserve"> - </w:t>
      </w:r>
      <w:r w:rsidR="00CA641B">
        <w:t>o</w:t>
      </w:r>
      <w:r w:rsidR="00DE31C1" w:rsidRPr="00555374">
        <w:t>ddelenie rezortnej štatistiky</w:t>
      </w:r>
      <w:r w:rsidR="00B11D6C">
        <w:t>, pričom</w:t>
      </w:r>
      <w:r w:rsidR="00E3157E">
        <w:t xml:space="preserve"> s</w:t>
      </w:r>
      <w:r w:rsidR="00DE31C1">
        <w:t>polupr</w:t>
      </w:r>
      <w:r w:rsidR="00B11D6C">
        <w:t>a</w:t>
      </w:r>
      <w:r w:rsidR="00DE31C1">
        <w:t xml:space="preserve">cuje  s úsekom metodiky akademických knižníc </w:t>
      </w:r>
      <w:r w:rsidR="00CA641B">
        <w:t>o</w:t>
      </w:r>
      <w:r w:rsidR="00DE31C1">
        <w:t xml:space="preserve">ddelenia knižnično-informačných služieb </w:t>
      </w:r>
      <w:r w:rsidR="00CA641B">
        <w:t>o</w:t>
      </w:r>
      <w:r w:rsidR="00DE31C1">
        <w:t>dboru neformálneho vzdelávania a školského športu Národného inštitútu vzdelávania a mládeže.</w:t>
      </w:r>
    </w:p>
    <w:p w14:paraId="7EECF01B" w14:textId="5139540A" w:rsidR="00DE31C1" w:rsidRDefault="00E3157E" w:rsidP="00BD03AD">
      <w:pPr>
        <w:jc w:val="both"/>
      </w:pPr>
      <w:r>
        <w:t xml:space="preserve">Údaje sú zbierané pre Ministerstvo školstva, </w:t>
      </w:r>
      <w:r w:rsidR="0049721E">
        <w:t>výskumu, vývoja</w:t>
      </w:r>
      <w:r>
        <w:t xml:space="preserve"> a mládeže a </w:t>
      </w:r>
      <w:r w:rsidR="00DE31C1">
        <w:t xml:space="preserve">používajú </w:t>
      </w:r>
      <w:r>
        <w:t xml:space="preserve">sa </w:t>
      </w:r>
      <w:r w:rsidR="00DE31C1">
        <w:t>pri porovnávaní spoločných ukazovateľov v rámci systému knižníc SR</w:t>
      </w:r>
      <w:r w:rsidR="00B11D6C">
        <w:t>, ktoré zabezpečuje Slovenská národná knižnica v Martine pre Ministerstvo kultúry SR.</w:t>
      </w:r>
    </w:p>
    <w:p w14:paraId="59CD4C72" w14:textId="6264A248" w:rsidR="00E3157E" w:rsidRDefault="00E3157E" w:rsidP="00BD03AD">
      <w:pPr>
        <w:jc w:val="both"/>
      </w:pPr>
      <w:r>
        <w:t xml:space="preserve">Sieť AK tvoria knižnice vysokých škôl (VŠ) a  v roku 2025 ich bolo celkovo 39 (26 na verejných verejných VŠ, 10 na súkromných a 3 na štátnych VŠ). Súhrnný výkaz Škol (MŠVVM SR) 10-01 – o akademickej knižnici – vyplnili </w:t>
      </w:r>
      <w:r w:rsidR="00B11D6C">
        <w:t xml:space="preserve">za rok 2025 </w:t>
      </w:r>
      <w:r>
        <w:t xml:space="preserve">všetky AK. </w:t>
      </w:r>
    </w:p>
    <w:p w14:paraId="625B917E" w14:textId="03ADB91A" w:rsidR="00B11D6C" w:rsidRDefault="00B11D6C" w:rsidP="00BD03AD">
      <w:pPr>
        <w:jc w:val="both"/>
      </w:pPr>
      <w:r>
        <w:t>Pre analýzu stavu AK za rok 2025 sme si vybrali relevantné ukazovatele, pričom ich porovnávame s</w:t>
      </w:r>
      <w:r w:rsidR="004A33D7">
        <w:t> hodnotami u týchto ukazovateľov v rokoch 2024 a 2023. Výhodou je, že počet a štruktúra sa v období rokov 2023 až 2025 nemenili</w:t>
      </w:r>
      <w:r w:rsidR="002F6B45">
        <w:t xml:space="preserve"> a výkazy odovzdali všetky AK.</w:t>
      </w:r>
    </w:p>
    <w:p w14:paraId="383942CD" w14:textId="77777777" w:rsidR="002E60A8" w:rsidRDefault="000639BC" w:rsidP="00BD03AD">
      <w:pPr>
        <w:jc w:val="both"/>
        <w:rPr>
          <w:b/>
          <w:bCs/>
        </w:rPr>
      </w:pPr>
      <w:r>
        <w:t xml:space="preserve">V rámci oddielu I. </w:t>
      </w:r>
      <w:r w:rsidRPr="000639BC">
        <w:rPr>
          <w:i/>
          <w:iCs/>
        </w:rPr>
        <w:t>Knižničný fond</w:t>
      </w:r>
      <w:r>
        <w:t xml:space="preserve"> nás zaujímal údaj z </w:t>
      </w:r>
      <w:r w:rsidRPr="000639BC">
        <w:rPr>
          <w:b/>
          <w:bCs/>
        </w:rPr>
        <w:t>riadku 0113</w:t>
      </w:r>
      <w:r>
        <w:rPr>
          <w:b/>
          <w:bCs/>
        </w:rPr>
        <w:t>, a to Ročný prírastok knižničných jednotiek</w:t>
      </w:r>
      <w:r w:rsidR="00833D63">
        <w:rPr>
          <w:b/>
          <w:bCs/>
        </w:rPr>
        <w:t xml:space="preserve"> (kn.j.)</w:t>
      </w:r>
      <w:r>
        <w:rPr>
          <w:b/>
          <w:bCs/>
        </w:rPr>
        <w:t>:</w:t>
      </w:r>
      <w:r w:rsidR="002E60A8">
        <w:rPr>
          <w:b/>
          <w:bCs/>
        </w:rPr>
        <w:t xml:space="preserve"> </w:t>
      </w:r>
    </w:p>
    <w:tbl>
      <w:tblPr>
        <w:tblW w:w="4120" w:type="dxa"/>
        <w:tblCellMar>
          <w:left w:w="70" w:type="dxa"/>
          <w:right w:w="70" w:type="dxa"/>
        </w:tblCellMar>
        <w:tblLook w:val="04A0" w:firstRow="1" w:lastRow="0" w:firstColumn="1" w:lastColumn="0" w:noHBand="0" w:noVBand="1"/>
      </w:tblPr>
      <w:tblGrid>
        <w:gridCol w:w="1184"/>
        <w:gridCol w:w="977"/>
        <w:gridCol w:w="980"/>
        <w:gridCol w:w="979"/>
      </w:tblGrid>
      <w:tr w:rsidR="002E60A8" w:rsidRPr="002E60A8" w14:paraId="59B301A6" w14:textId="77777777" w:rsidTr="002E60A8">
        <w:trPr>
          <w:trHeight w:val="652"/>
        </w:trPr>
        <w:tc>
          <w:tcPr>
            <w:tcW w:w="1184" w:type="dxa"/>
            <w:tcBorders>
              <w:top w:val="single" w:sz="8" w:space="0" w:color="auto"/>
              <w:left w:val="single" w:sz="8" w:space="0" w:color="auto"/>
              <w:bottom w:val="single" w:sz="8" w:space="0" w:color="auto"/>
              <w:right w:val="single" w:sz="4" w:space="0" w:color="auto"/>
            </w:tcBorders>
            <w:shd w:val="clear" w:color="000000" w:fill="C0E6F5"/>
            <w:vAlign w:val="center"/>
            <w:hideMark/>
          </w:tcPr>
          <w:p w14:paraId="326EE2C0"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Typ VŠ</w:t>
            </w:r>
          </w:p>
        </w:tc>
        <w:tc>
          <w:tcPr>
            <w:tcW w:w="977" w:type="dxa"/>
            <w:tcBorders>
              <w:top w:val="single" w:sz="8" w:space="0" w:color="auto"/>
              <w:left w:val="nil"/>
              <w:bottom w:val="single" w:sz="8" w:space="0" w:color="auto"/>
              <w:right w:val="single" w:sz="4" w:space="0" w:color="auto"/>
            </w:tcBorders>
            <w:shd w:val="clear" w:color="000000" w:fill="C0E6F5"/>
            <w:vAlign w:val="center"/>
            <w:hideMark/>
          </w:tcPr>
          <w:p w14:paraId="62FDA13C"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Rok</w:t>
            </w:r>
          </w:p>
        </w:tc>
        <w:tc>
          <w:tcPr>
            <w:tcW w:w="980" w:type="dxa"/>
            <w:tcBorders>
              <w:top w:val="single" w:sz="8" w:space="0" w:color="auto"/>
              <w:left w:val="nil"/>
              <w:bottom w:val="single" w:sz="8" w:space="0" w:color="auto"/>
              <w:right w:val="single" w:sz="4" w:space="0" w:color="auto"/>
            </w:tcBorders>
            <w:shd w:val="clear" w:color="000000" w:fill="C0E6F5"/>
            <w:vAlign w:val="center"/>
            <w:hideMark/>
          </w:tcPr>
          <w:p w14:paraId="371F718F"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Počet výkazov</w:t>
            </w:r>
          </w:p>
        </w:tc>
        <w:tc>
          <w:tcPr>
            <w:tcW w:w="979" w:type="dxa"/>
            <w:tcBorders>
              <w:top w:val="single" w:sz="8" w:space="0" w:color="auto"/>
              <w:left w:val="nil"/>
              <w:bottom w:val="single" w:sz="8" w:space="0" w:color="auto"/>
              <w:right w:val="single" w:sz="8" w:space="0" w:color="auto"/>
            </w:tcBorders>
            <w:shd w:val="clear" w:color="000000" w:fill="C0E6F5"/>
            <w:vAlign w:val="center"/>
            <w:hideMark/>
          </w:tcPr>
          <w:p w14:paraId="4C5450F7"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Riadok 0113</w:t>
            </w:r>
          </w:p>
        </w:tc>
      </w:tr>
      <w:tr w:rsidR="002E60A8" w:rsidRPr="002E60A8" w14:paraId="24C3282C" w14:textId="77777777" w:rsidTr="002E60A8">
        <w:trPr>
          <w:trHeight w:val="326"/>
        </w:trPr>
        <w:tc>
          <w:tcPr>
            <w:tcW w:w="1184" w:type="dxa"/>
            <w:vMerge w:val="restart"/>
            <w:tcBorders>
              <w:top w:val="nil"/>
              <w:left w:val="single" w:sz="8" w:space="0" w:color="auto"/>
              <w:bottom w:val="single" w:sz="4" w:space="0" w:color="auto"/>
              <w:right w:val="single" w:sz="4" w:space="0" w:color="auto"/>
            </w:tcBorders>
            <w:shd w:val="clear" w:color="000000" w:fill="C0E6F5"/>
            <w:vAlign w:val="center"/>
            <w:hideMark/>
          </w:tcPr>
          <w:p w14:paraId="4353290D"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verejné</w:t>
            </w:r>
          </w:p>
        </w:tc>
        <w:tc>
          <w:tcPr>
            <w:tcW w:w="977" w:type="dxa"/>
            <w:tcBorders>
              <w:top w:val="nil"/>
              <w:left w:val="nil"/>
              <w:bottom w:val="single" w:sz="4" w:space="0" w:color="auto"/>
              <w:right w:val="single" w:sz="4" w:space="0" w:color="auto"/>
            </w:tcBorders>
            <w:shd w:val="clear" w:color="000000" w:fill="FFCC99"/>
            <w:vAlign w:val="center"/>
            <w:hideMark/>
          </w:tcPr>
          <w:p w14:paraId="685AB934"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2023</w:t>
            </w:r>
          </w:p>
        </w:tc>
        <w:tc>
          <w:tcPr>
            <w:tcW w:w="980" w:type="dxa"/>
            <w:tcBorders>
              <w:top w:val="nil"/>
              <w:left w:val="nil"/>
              <w:bottom w:val="single" w:sz="4" w:space="0" w:color="auto"/>
              <w:right w:val="single" w:sz="4" w:space="0" w:color="auto"/>
            </w:tcBorders>
            <w:shd w:val="clear" w:color="000000" w:fill="FFCC99"/>
            <w:vAlign w:val="center"/>
            <w:hideMark/>
          </w:tcPr>
          <w:p w14:paraId="7B7FE5CA"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26</w:t>
            </w:r>
          </w:p>
        </w:tc>
        <w:tc>
          <w:tcPr>
            <w:tcW w:w="979" w:type="dxa"/>
            <w:tcBorders>
              <w:top w:val="nil"/>
              <w:left w:val="nil"/>
              <w:bottom w:val="single" w:sz="4" w:space="0" w:color="auto"/>
              <w:right w:val="single" w:sz="8" w:space="0" w:color="auto"/>
            </w:tcBorders>
            <w:shd w:val="clear" w:color="000000" w:fill="FFCC99"/>
            <w:vAlign w:val="center"/>
            <w:hideMark/>
          </w:tcPr>
          <w:p w14:paraId="749F77C8"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81 972</w:t>
            </w:r>
          </w:p>
        </w:tc>
      </w:tr>
      <w:tr w:rsidR="002E60A8" w:rsidRPr="002E60A8" w14:paraId="208D6D6D" w14:textId="77777777" w:rsidTr="002E60A8">
        <w:trPr>
          <w:trHeight w:val="326"/>
        </w:trPr>
        <w:tc>
          <w:tcPr>
            <w:tcW w:w="1184" w:type="dxa"/>
            <w:vMerge/>
            <w:tcBorders>
              <w:top w:val="nil"/>
              <w:left w:val="single" w:sz="8" w:space="0" w:color="auto"/>
              <w:bottom w:val="single" w:sz="4" w:space="0" w:color="auto"/>
              <w:right w:val="single" w:sz="4" w:space="0" w:color="auto"/>
            </w:tcBorders>
            <w:vAlign w:val="center"/>
            <w:hideMark/>
          </w:tcPr>
          <w:p w14:paraId="6DE8E4D7"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p>
        </w:tc>
        <w:tc>
          <w:tcPr>
            <w:tcW w:w="977" w:type="dxa"/>
            <w:tcBorders>
              <w:top w:val="nil"/>
              <w:left w:val="nil"/>
              <w:bottom w:val="single" w:sz="4" w:space="0" w:color="auto"/>
              <w:right w:val="single" w:sz="4" w:space="0" w:color="auto"/>
            </w:tcBorders>
            <w:shd w:val="clear" w:color="000000" w:fill="FFCC99"/>
            <w:vAlign w:val="center"/>
            <w:hideMark/>
          </w:tcPr>
          <w:p w14:paraId="1AA0098A"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2024</w:t>
            </w:r>
          </w:p>
        </w:tc>
        <w:tc>
          <w:tcPr>
            <w:tcW w:w="980" w:type="dxa"/>
            <w:tcBorders>
              <w:top w:val="nil"/>
              <w:left w:val="nil"/>
              <w:bottom w:val="single" w:sz="4" w:space="0" w:color="auto"/>
              <w:right w:val="single" w:sz="4" w:space="0" w:color="auto"/>
            </w:tcBorders>
            <w:shd w:val="clear" w:color="000000" w:fill="FFCC99"/>
            <w:vAlign w:val="center"/>
            <w:hideMark/>
          </w:tcPr>
          <w:p w14:paraId="089AA94F"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26</w:t>
            </w:r>
          </w:p>
        </w:tc>
        <w:tc>
          <w:tcPr>
            <w:tcW w:w="979" w:type="dxa"/>
            <w:tcBorders>
              <w:top w:val="nil"/>
              <w:left w:val="nil"/>
              <w:bottom w:val="single" w:sz="4" w:space="0" w:color="auto"/>
              <w:right w:val="single" w:sz="8" w:space="0" w:color="auto"/>
            </w:tcBorders>
            <w:shd w:val="clear" w:color="000000" w:fill="FFCC99"/>
            <w:vAlign w:val="center"/>
            <w:hideMark/>
          </w:tcPr>
          <w:p w14:paraId="305DFBB0"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80 397</w:t>
            </w:r>
          </w:p>
        </w:tc>
      </w:tr>
      <w:tr w:rsidR="002E60A8" w:rsidRPr="002E60A8" w14:paraId="0E84B77A" w14:textId="77777777" w:rsidTr="002E60A8">
        <w:trPr>
          <w:trHeight w:val="340"/>
        </w:trPr>
        <w:tc>
          <w:tcPr>
            <w:tcW w:w="1184" w:type="dxa"/>
            <w:vMerge/>
            <w:tcBorders>
              <w:top w:val="nil"/>
              <w:left w:val="single" w:sz="8" w:space="0" w:color="auto"/>
              <w:bottom w:val="single" w:sz="4" w:space="0" w:color="auto"/>
              <w:right w:val="single" w:sz="4" w:space="0" w:color="auto"/>
            </w:tcBorders>
            <w:vAlign w:val="center"/>
            <w:hideMark/>
          </w:tcPr>
          <w:p w14:paraId="6CABA3F2"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p>
        </w:tc>
        <w:tc>
          <w:tcPr>
            <w:tcW w:w="977" w:type="dxa"/>
            <w:tcBorders>
              <w:top w:val="nil"/>
              <w:left w:val="nil"/>
              <w:bottom w:val="single" w:sz="4" w:space="0" w:color="auto"/>
              <w:right w:val="single" w:sz="4" w:space="0" w:color="auto"/>
            </w:tcBorders>
            <w:shd w:val="clear" w:color="000000" w:fill="FFCC99"/>
            <w:vAlign w:val="center"/>
            <w:hideMark/>
          </w:tcPr>
          <w:p w14:paraId="0FBD6158"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2025</w:t>
            </w:r>
          </w:p>
        </w:tc>
        <w:tc>
          <w:tcPr>
            <w:tcW w:w="980" w:type="dxa"/>
            <w:tcBorders>
              <w:top w:val="nil"/>
              <w:left w:val="nil"/>
              <w:bottom w:val="single" w:sz="4" w:space="0" w:color="auto"/>
              <w:right w:val="single" w:sz="4" w:space="0" w:color="auto"/>
            </w:tcBorders>
            <w:shd w:val="clear" w:color="000000" w:fill="FFCC99"/>
            <w:vAlign w:val="center"/>
            <w:hideMark/>
          </w:tcPr>
          <w:p w14:paraId="6F4C2C21"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26</w:t>
            </w:r>
          </w:p>
        </w:tc>
        <w:tc>
          <w:tcPr>
            <w:tcW w:w="979" w:type="dxa"/>
            <w:tcBorders>
              <w:top w:val="nil"/>
              <w:left w:val="nil"/>
              <w:bottom w:val="single" w:sz="4" w:space="0" w:color="auto"/>
              <w:right w:val="single" w:sz="8" w:space="0" w:color="auto"/>
            </w:tcBorders>
            <w:shd w:val="clear" w:color="000000" w:fill="FFCC99"/>
            <w:vAlign w:val="center"/>
            <w:hideMark/>
          </w:tcPr>
          <w:p w14:paraId="5845F2E9"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66 286</w:t>
            </w:r>
          </w:p>
        </w:tc>
      </w:tr>
      <w:tr w:rsidR="002E60A8" w:rsidRPr="002E60A8" w14:paraId="428BEAA6" w14:textId="77777777" w:rsidTr="002E60A8">
        <w:trPr>
          <w:trHeight w:val="326"/>
        </w:trPr>
        <w:tc>
          <w:tcPr>
            <w:tcW w:w="1184" w:type="dxa"/>
            <w:vMerge w:val="restart"/>
            <w:tcBorders>
              <w:top w:val="nil"/>
              <w:left w:val="single" w:sz="8" w:space="0" w:color="auto"/>
              <w:bottom w:val="single" w:sz="4" w:space="0" w:color="auto"/>
              <w:right w:val="single" w:sz="4" w:space="0" w:color="auto"/>
            </w:tcBorders>
            <w:shd w:val="clear" w:color="000000" w:fill="C0E6F5"/>
            <w:vAlign w:val="center"/>
            <w:hideMark/>
          </w:tcPr>
          <w:p w14:paraId="147F8D34"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štátne</w:t>
            </w:r>
          </w:p>
        </w:tc>
        <w:tc>
          <w:tcPr>
            <w:tcW w:w="977" w:type="dxa"/>
            <w:tcBorders>
              <w:top w:val="nil"/>
              <w:left w:val="nil"/>
              <w:bottom w:val="single" w:sz="4" w:space="0" w:color="auto"/>
              <w:right w:val="single" w:sz="4" w:space="0" w:color="auto"/>
            </w:tcBorders>
            <w:shd w:val="clear" w:color="000000" w:fill="DAF2D0"/>
            <w:vAlign w:val="center"/>
            <w:hideMark/>
          </w:tcPr>
          <w:p w14:paraId="7C58BB1C"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2023</w:t>
            </w:r>
          </w:p>
        </w:tc>
        <w:tc>
          <w:tcPr>
            <w:tcW w:w="980" w:type="dxa"/>
            <w:tcBorders>
              <w:top w:val="nil"/>
              <w:left w:val="nil"/>
              <w:bottom w:val="single" w:sz="4" w:space="0" w:color="auto"/>
              <w:right w:val="single" w:sz="4" w:space="0" w:color="auto"/>
            </w:tcBorders>
            <w:shd w:val="clear" w:color="000000" w:fill="DAF2D0"/>
            <w:vAlign w:val="center"/>
            <w:hideMark/>
          </w:tcPr>
          <w:p w14:paraId="730F1C5A"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3</w:t>
            </w:r>
          </w:p>
        </w:tc>
        <w:tc>
          <w:tcPr>
            <w:tcW w:w="979" w:type="dxa"/>
            <w:tcBorders>
              <w:top w:val="nil"/>
              <w:left w:val="nil"/>
              <w:bottom w:val="single" w:sz="4" w:space="0" w:color="auto"/>
              <w:right w:val="single" w:sz="8" w:space="0" w:color="auto"/>
            </w:tcBorders>
            <w:shd w:val="clear" w:color="000000" w:fill="DAF2D0"/>
            <w:vAlign w:val="center"/>
            <w:hideMark/>
          </w:tcPr>
          <w:p w14:paraId="25BF9A37"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3 603</w:t>
            </w:r>
          </w:p>
        </w:tc>
      </w:tr>
      <w:tr w:rsidR="002E60A8" w:rsidRPr="002E60A8" w14:paraId="28C68B57" w14:textId="77777777" w:rsidTr="002E60A8">
        <w:trPr>
          <w:trHeight w:val="326"/>
        </w:trPr>
        <w:tc>
          <w:tcPr>
            <w:tcW w:w="1184" w:type="dxa"/>
            <w:vMerge/>
            <w:tcBorders>
              <w:top w:val="nil"/>
              <w:left w:val="single" w:sz="8" w:space="0" w:color="auto"/>
              <w:bottom w:val="single" w:sz="4" w:space="0" w:color="auto"/>
              <w:right w:val="single" w:sz="4" w:space="0" w:color="auto"/>
            </w:tcBorders>
            <w:vAlign w:val="center"/>
            <w:hideMark/>
          </w:tcPr>
          <w:p w14:paraId="0CB5C4C4"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p>
        </w:tc>
        <w:tc>
          <w:tcPr>
            <w:tcW w:w="977" w:type="dxa"/>
            <w:tcBorders>
              <w:top w:val="nil"/>
              <w:left w:val="nil"/>
              <w:bottom w:val="single" w:sz="4" w:space="0" w:color="auto"/>
              <w:right w:val="single" w:sz="4" w:space="0" w:color="auto"/>
            </w:tcBorders>
            <w:shd w:val="clear" w:color="000000" w:fill="DAF2D0"/>
            <w:vAlign w:val="center"/>
            <w:hideMark/>
          </w:tcPr>
          <w:p w14:paraId="344A3A3E"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2024</w:t>
            </w:r>
          </w:p>
        </w:tc>
        <w:tc>
          <w:tcPr>
            <w:tcW w:w="980" w:type="dxa"/>
            <w:tcBorders>
              <w:top w:val="nil"/>
              <w:left w:val="nil"/>
              <w:bottom w:val="single" w:sz="4" w:space="0" w:color="auto"/>
              <w:right w:val="single" w:sz="4" w:space="0" w:color="auto"/>
            </w:tcBorders>
            <w:shd w:val="clear" w:color="000000" w:fill="DAF2D0"/>
            <w:vAlign w:val="center"/>
            <w:hideMark/>
          </w:tcPr>
          <w:p w14:paraId="1EA9285A"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3</w:t>
            </w:r>
          </w:p>
        </w:tc>
        <w:tc>
          <w:tcPr>
            <w:tcW w:w="979" w:type="dxa"/>
            <w:tcBorders>
              <w:top w:val="nil"/>
              <w:left w:val="nil"/>
              <w:bottom w:val="single" w:sz="4" w:space="0" w:color="auto"/>
              <w:right w:val="single" w:sz="8" w:space="0" w:color="auto"/>
            </w:tcBorders>
            <w:shd w:val="clear" w:color="000000" w:fill="DAF2D0"/>
            <w:vAlign w:val="center"/>
            <w:hideMark/>
          </w:tcPr>
          <w:p w14:paraId="5A7DD7A4"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3 033</w:t>
            </w:r>
          </w:p>
        </w:tc>
      </w:tr>
      <w:tr w:rsidR="002E60A8" w:rsidRPr="002E60A8" w14:paraId="54A5056A" w14:textId="77777777" w:rsidTr="002E60A8">
        <w:trPr>
          <w:trHeight w:val="326"/>
        </w:trPr>
        <w:tc>
          <w:tcPr>
            <w:tcW w:w="1184" w:type="dxa"/>
            <w:vMerge/>
            <w:tcBorders>
              <w:top w:val="nil"/>
              <w:left w:val="single" w:sz="8" w:space="0" w:color="auto"/>
              <w:bottom w:val="single" w:sz="4" w:space="0" w:color="auto"/>
              <w:right w:val="single" w:sz="4" w:space="0" w:color="auto"/>
            </w:tcBorders>
            <w:vAlign w:val="center"/>
            <w:hideMark/>
          </w:tcPr>
          <w:p w14:paraId="63DC5D7F"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p>
        </w:tc>
        <w:tc>
          <w:tcPr>
            <w:tcW w:w="977" w:type="dxa"/>
            <w:tcBorders>
              <w:top w:val="nil"/>
              <w:left w:val="nil"/>
              <w:bottom w:val="single" w:sz="4" w:space="0" w:color="auto"/>
              <w:right w:val="single" w:sz="4" w:space="0" w:color="auto"/>
            </w:tcBorders>
            <w:shd w:val="clear" w:color="000000" w:fill="DAF2D0"/>
            <w:vAlign w:val="center"/>
            <w:hideMark/>
          </w:tcPr>
          <w:p w14:paraId="17FBC9A0"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2025</w:t>
            </w:r>
          </w:p>
        </w:tc>
        <w:tc>
          <w:tcPr>
            <w:tcW w:w="980" w:type="dxa"/>
            <w:tcBorders>
              <w:top w:val="nil"/>
              <w:left w:val="nil"/>
              <w:bottom w:val="single" w:sz="4" w:space="0" w:color="auto"/>
              <w:right w:val="single" w:sz="4" w:space="0" w:color="auto"/>
            </w:tcBorders>
            <w:shd w:val="clear" w:color="000000" w:fill="DAF2D0"/>
            <w:vAlign w:val="center"/>
            <w:hideMark/>
          </w:tcPr>
          <w:p w14:paraId="3172B599"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3</w:t>
            </w:r>
          </w:p>
        </w:tc>
        <w:tc>
          <w:tcPr>
            <w:tcW w:w="979" w:type="dxa"/>
            <w:tcBorders>
              <w:top w:val="nil"/>
              <w:left w:val="nil"/>
              <w:bottom w:val="single" w:sz="4" w:space="0" w:color="auto"/>
              <w:right w:val="single" w:sz="8" w:space="0" w:color="auto"/>
            </w:tcBorders>
            <w:shd w:val="clear" w:color="000000" w:fill="DAF2D0"/>
            <w:vAlign w:val="center"/>
            <w:hideMark/>
          </w:tcPr>
          <w:p w14:paraId="18AD8A72"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4 460</w:t>
            </w:r>
          </w:p>
        </w:tc>
      </w:tr>
      <w:tr w:rsidR="002E60A8" w:rsidRPr="002E60A8" w14:paraId="7EE95EF6" w14:textId="77777777" w:rsidTr="002E60A8">
        <w:trPr>
          <w:trHeight w:val="326"/>
        </w:trPr>
        <w:tc>
          <w:tcPr>
            <w:tcW w:w="1184" w:type="dxa"/>
            <w:vMerge w:val="restart"/>
            <w:tcBorders>
              <w:top w:val="nil"/>
              <w:left w:val="single" w:sz="8" w:space="0" w:color="auto"/>
              <w:bottom w:val="single" w:sz="8" w:space="0" w:color="000000"/>
              <w:right w:val="single" w:sz="4" w:space="0" w:color="auto"/>
            </w:tcBorders>
            <w:shd w:val="clear" w:color="000000" w:fill="C0E6F5"/>
            <w:vAlign w:val="center"/>
            <w:hideMark/>
          </w:tcPr>
          <w:p w14:paraId="59CD90B8"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súkromné</w:t>
            </w:r>
          </w:p>
        </w:tc>
        <w:tc>
          <w:tcPr>
            <w:tcW w:w="977" w:type="dxa"/>
            <w:tcBorders>
              <w:top w:val="nil"/>
              <w:left w:val="nil"/>
              <w:bottom w:val="single" w:sz="4" w:space="0" w:color="auto"/>
              <w:right w:val="single" w:sz="4" w:space="0" w:color="auto"/>
            </w:tcBorders>
            <w:shd w:val="clear" w:color="000000" w:fill="FFFF99"/>
            <w:vAlign w:val="center"/>
            <w:hideMark/>
          </w:tcPr>
          <w:p w14:paraId="3E35BB2F"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2023</w:t>
            </w:r>
          </w:p>
        </w:tc>
        <w:tc>
          <w:tcPr>
            <w:tcW w:w="980" w:type="dxa"/>
            <w:tcBorders>
              <w:top w:val="nil"/>
              <w:left w:val="nil"/>
              <w:bottom w:val="single" w:sz="4" w:space="0" w:color="auto"/>
              <w:right w:val="single" w:sz="4" w:space="0" w:color="auto"/>
            </w:tcBorders>
            <w:shd w:val="clear" w:color="000000" w:fill="FFFF99"/>
            <w:vAlign w:val="center"/>
            <w:hideMark/>
          </w:tcPr>
          <w:p w14:paraId="2E5AD9D5"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10</w:t>
            </w:r>
          </w:p>
        </w:tc>
        <w:tc>
          <w:tcPr>
            <w:tcW w:w="979" w:type="dxa"/>
            <w:tcBorders>
              <w:top w:val="nil"/>
              <w:left w:val="nil"/>
              <w:bottom w:val="single" w:sz="4" w:space="0" w:color="auto"/>
              <w:right w:val="single" w:sz="8" w:space="0" w:color="auto"/>
            </w:tcBorders>
            <w:shd w:val="clear" w:color="000000" w:fill="FFFF99"/>
            <w:vAlign w:val="center"/>
            <w:hideMark/>
          </w:tcPr>
          <w:p w14:paraId="6E639F76"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7 502</w:t>
            </w:r>
          </w:p>
        </w:tc>
      </w:tr>
      <w:tr w:rsidR="002E60A8" w:rsidRPr="002E60A8" w14:paraId="4AF13278" w14:textId="77777777" w:rsidTr="002E60A8">
        <w:trPr>
          <w:trHeight w:val="326"/>
        </w:trPr>
        <w:tc>
          <w:tcPr>
            <w:tcW w:w="1184" w:type="dxa"/>
            <w:vMerge/>
            <w:tcBorders>
              <w:top w:val="nil"/>
              <w:left w:val="single" w:sz="8" w:space="0" w:color="auto"/>
              <w:bottom w:val="single" w:sz="8" w:space="0" w:color="000000"/>
              <w:right w:val="single" w:sz="4" w:space="0" w:color="auto"/>
            </w:tcBorders>
            <w:vAlign w:val="center"/>
            <w:hideMark/>
          </w:tcPr>
          <w:p w14:paraId="59ECEF30"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p>
        </w:tc>
        <w:tc>
          <w:tcPr>
            <w:tcW w:w="977" w:type="dxa"/>
            <w:tcBorders>
              <w:top w:val="nil"/>
              <w:left w:val="nil"/>
              <w:bottom w:val="single" w:sz="4" w:space="0" w:color="auto"/>
              <w:right w:val="single" w:sz="4" w:space="0" w:color="auto"/>
            </w:tcBorders>
            <w:shd w:val="clear" w:color="000000" w:fill="FFFF99"/>
            <w:vAlign w:val="center"/>
            <w:hideMark/>
          </w:tcPr>
          <w:p w14:paraId="71A0ECF6"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2024</w:t>
            </w:r>
          </w:p>
        </w:tc>
        <w:tc>
          <w:tcPr>
            <w:tcW w:w="980" w:type="dxa"/>
            <w:tcBorders>
              <w:top w:val="nil"/>
              <w:left w:val="nil"/>
              <w:bottom w:val="single" w:sz="4" w:space="0" w:color="auto"/>
              <w:right w:val="single" w:sz="4" w:space="0" w:color="auto"/>
            </w:tcBorders>
            <w:shd w:val="clear" w:color="000000" w:fill="FFFF99"/>
            <w:vAlign w:val="center"/>
            <w:hideMark/>
          </w:tcPr>
          <w:p w14:paraId="45AF821E"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10</w:t>
            </w:r>
          </w:p>
        </w:tc>
        <w:tc>
          <w:tcPr>
            <w:tcW w:w="979" w:type="dxa"/>
            <w:tcBorders>
              <w:top w:val="nil"/>
              <w:left w:val="nil"/>
              <w:bottom w:val="single" w:sz="4" w:space="0" w:color="auto"/>
              <w:right w:val="single" w:sz="8" w:space="0" w:color="auto"/>
            </w:tcBorders>
            <w:shd w:val="clear" w:color="000000" w:fill="FFFF99"/>
            <w:vAlign w:val="center"/>
            <w:hideMark/>
          </w:tcPr>
          <w:p w14:paraId="791F9056"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6 911</w:t>
            </w:r>
          </w:p>
        </w:tc>
      </w:tr>
      <w:tr w:rsidR="002E60A8" w:rsidRPr="002E60A8" w14:paraId="29FC9680" w14:textId="77777777" w:rsidTr="002E60A8">
        <w:trPr>
          <w:trHeight w:val="340"/>
        </w:trPr>
        <w:tc>
          <w:tcPr>
            <w:tcW w:w="1184" w:type="dxa"/>
            <w:vMerge/>
            <w:tcBorders>
              <w:top w:val="nil"/>
              <w:left w:val="single" w:sz="8" w:space="0" w:color="auto"/>
              <w:bottom w:val="single" w:sz="8" w:space="0" w:color="000000"/>
              <w:right w:val="single" w:sz="4" w:space="0" w:color="auto"/>
            </w:tcBorders>
            <w:vAlign w:val="center"/>
            <w:hideMark/>
          </w:tcPr>
          <w:p w14:paraId="222A0FEB"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p>
        </w:tc>
        <w:tc>
          <w:tcPr>
            <w:tcW w:w="977" w:type="dxa"/>
            <w:tcBorders>
              <w:top w:val="nil"/>
              <w:left w:val="nil"/>
              <w:bottom w:val="single" w:sz="8" w:space="0" w:color="auto"/>
              <w:right w:val="single" w:sz="4" w:space="0" w:color="auto"/>
            </w:tcBorders>
            <w:shd w:val="clear" w:color="000000" w:fill="FFFF99"/>
            <w:vAlign w:val="center"/>
            <w:hideMark/>
          </w:tcPr>
          <w:p w14:paraId="42B17A8B"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2025</w:t>
            </w:r>
          </w:p>
        </w:tc>
        <w:tc>
          <w:tcPr>
            <w:tcW w:w="980" w:type="dxa"/>
            <w:tcBorders>
              <w:top w:val="nil"/>
              <w:left w:val="nil"/>
              <w:bottom w:val="single" w:sz="8" w:space="0" w:color="auto"/>
              <w:right w:val="single" w:sz="4" w:space="0" w:color="auto"/>
            </w:tcBorders>
            <w:shd w:val="clear" w:color="000000" w:fill="FFFF99"/>
            <w:vAlign w:val="center"/>
            <w:hideMark/>
          </w:tcPr>
          <w:p w14:paraId="2DB70DF9"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10</w:t>
            </w:r>
          </w:p>
        </w:tc>
        <w:tc>
          <w:tcPr>
            <w:tcW w:w="979" w:type="dxa"/>
            <w:tcBorders>
              <w:top w:val="nil"/>
              <w:left w:val="nil"/>
              <w:bottom w:val="single" w:sz="8" w:space="0" w:color="auto"/>
              <w:right w:val="single" w:sz="8" w:space="0" w:color="auto"/>
            </w:tcBorders>
            <w:shd w:val="clear" w:color="000000" w:fill="FFFF99"/>
            <w:vAlign w:val="center"/>
            <w:hideMark/>
          </w:tcPr>
          <w:p w14:paraId="629FDD60" w14:textId="77777777" w:rsidR="002E60A8" w:rsidRPr="002E60A8" w:rsidRDefault="002E60A8"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5 099</w:t>
            </w:r>
          </w:p>
        </w:tc>
      </w:tr>
    </w:tbl>
    <w:tbl>
      <w:tblPr>
        <w:tblpPr w:leftFromText="141" w:rightFromText="141" w:vertAnchor="text" w:horzAnchor="margin" w:tblpXSpec="right" w:tblpY="-1716"/>
        <w:tblW w:w="4120" w:type="dxa"/>
        <w:tblCellMar>
          <w:left w:w="70" w:type="dxa"/>
          <w:right w:w="70" w:type="dxa"/>
        </w:tblCellMar>
        <w:tblLook w:val="04A0" w:firstRow="1" w:lastRow="0" w:firstColumn="1" w:lastColumn="0" w:noHBand="0" w:noVBand="1"/>
      </w:tblPr>
      <w:tblGrid>
        <w:gridCol w:w="1180"/>
        <w:gridCol w:w="980"/>
        <w:gridCol w:w="980"/>
        <w:gridCol w:w="980"/>
      </w:tblGrid>
      <w:tr w:rsidR="005B0B27" w:rsidRPr="002E60A8" w14:paraId="21172D4F" w14:textId="77777777" w:rsidTr="005B0B27">
        <w:trPr>
          <w:trHeight w:val="652"/>
        </w:trPr>
        <w:tc>
          <w:tcPr>
            <w:tcW w:w="1180" w:type="dxa"/>
            <w:tcBorders>
              <w:top w:val="single" w:sz="8" w:space="0" w:color="auto"/>
              <w:left w:val="single" w:sz="8" w:space="0" w:color="auto"/>
              <w:bottom w:val="single" w:sz="8" w:space="0" w:color="auto"/>
              <w:right w:val="single" w:sz="4" w:space="0" w:color="auto"/>
            </w:tcBorders>
            <w:shd w:val="clear" w:color="000000" w:fill="C0E6F5"/>
            <w:vAlign w:val="center"/>
            <w:hideMark/>
          </w:tcPr>
          <w:p w14:paraId="42C88E00" w14:textId="77777777" w:rsidR="005B0B27" w:rsidRPr="002E60A8" w:rsidRDefault="005B0B27"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Rok</w:t>
            </w:r>
          </w:p>
        </w:tc>
        <w:tc>
          <w:tcPr>
            <w:tcW w:w="980" w:type="dxa"/>
            <w:tcBorders>
              <w:top w:val="single" w:sz="8" w:space="0" w:color="auto"/>
              <w:left w:val="nil"/>
              <w:bottom w:val="single" w:sz="8" w:space="0" w:color="auto"/>
              <w:right w:val="single" w:sz="4" w:space="0" w:color="auto"/>
            </w:tcBorders>
            <w:shd w:val="clear" w:color="000000" w:fill="C0E6F5"/>
            <w:vAlign w:val="center"/>
            <w:hideMark/>
          </w:tcPr>
          <w:p w14:paraId="22FC67E6" w14:textId="77777777" w:rsidR="005B0B27" w:rsidRPr="002E60A8" w:rsidRDefault="005B0B27"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Typ VŠ</w:t>
            </w:r>
          </w:p>
        </w:tc>
        <w:tc>
          <w:tcPr>
            <w:tcW w:w="980" w:type="dxa"/>
            <w:tcBorders>
              <w:top w:val="single" w:sz="8" w:space="0" w:color="auto"/>
              <w:left w:val="nil"/>
              <w:bottom w:val="single" w:sz="8" w:space="0" w:color="auto"/>
              <w:right w:val="single" w:sz="4" w:space="0" w:color="auto"/>
            </w:tcBorders>
            <w:shd w:val="clear" w:color="000000" w:fill="C0E6F5"/>
            <w:vAlign w:val="center"/>
            <w:hideMark/>
          </w:tcPr>
          <w:p w14:paraId="482AAA7C" w14:textId="77777777" w:rsidR="005B0B27" w:rsidRPr="002E60A8" w:rsidRDefault="005B0B27"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Počet výkazov</w:t>
            </w:r>
          </w:p>
        </w:tc>
        <w:tc>
          <w:tcPr>
            <w:tcW w:w="980" w:type="dxa"/>
            <w:tcBorders>
              <w:top w:val="single" w:sz="8" w:space="0" w:color="auto"/>
              <w:left w:val="nil"/>
              <w:bottom w:val="single" w:sz="8" w:space="0" w:color="auto"/>
              <w:right w:val="single" w:sz="8" w:space="0" w:color="auto"/>
            </w:tcBorders>
            <w:shd w:val="clear" w:color="000000" w:fill="C0E6F5"/>
            <w:vAlign w:val="center"/>
            <w:hideMark/>
          </w:tcPr>
          <w:p w14:paraId="27DB3F46" w14:textId="77777777" w:rsidR="005B0B27" w:rsidRPr="002E60A8" w:rsidRDefault="005B0B27"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Riadok 113</w:t>
            </w:r>
          </w:p>
        </w:tc>
      </w:tr>
      <w:tr w:rsidR="005B0B27" w:rsidRPr="002E60A8" w14:paraId="41725C12" w14:textId="77777777" w:rsidTr="005B0B27">
        <w:trPr>
          <w:trHeight w:val="326"/>
        </w:trPr>
        <w:tc>
          <w:tcPr>
            <w:tcW w:w="1180" w:type="dxa"/>
            <w:tcBorders>
              <w:top w:val="nil"/>
              <w:left w:val="single" w:sz="8" w:space="0" w:color="auto"/>
              <w:bottom w:val="single" w:sz="4" w:space="0" w:color="auto"/>
              <w:right w:val="single" w:sz="4" w:space="0" w:color="auto"/>
            </w:tcBorders>
            <w:shd w:val="clear" w:color="000000" w:fill="C0E6F5"/>
            <w:vAlign w:val="center"/>
            <w:hideMark/>
          </w:tcPr>
          <w:p w14:paraId="1131F11D" w14:textId="77777777" w:rsidR="005B0B27" w:rsidRPr="002E60A8" w:rsidRDefault="005B0B27"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2023</w:t>
            </w:r>
          </w:p>
        </w:tc>
        <w:tc>
          <w:tcPr>
            <w:tcW w:w="980" w:type="dxa"/>
            <w:tcBorders>
              <w:top w:val="nil"/>
              <w:left w:val="nil"/>
              <w:bottom w:val="single" w:sz="4" w:space="0" w:color="auto"/>
              <w:right w:val="single" w:sz="4" w:space="0" w:color="auto"/>
            </w:tcBorders>
            <w:shd w:val="clear" w:color="000000" w:fill="E5F5FB"/>
            <w:vAlign w:val="center"/>
            <w:hideMark/>
          </w:tcPr>
          <w:p w14:paraId="43FBAEF7" w14:textId="77777777" w:rsidR="005B0B27" w:rsidRPr="002E60A8" w:rsidRDefault="005B0B27"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všetky</w:t>
            </w:r>
          </w:p>
        </w:tc>
        <w:tc>
          <w:tcPr>
            <w:tcW w:w="980" w:type="dxa"/>
            <w:tcBorders>
              <w:top w:val="nil"/>
              <w:left w:val="nil"/>
              <w:bottom w:val="single" w:sz="4" w:space="0" w:color="auto"/>
              <w:right w:val="single" w:sz="4" w:space="0" w:color="auto"/>
            </w:tcBorders>
            <w:shd w:val="clear" w:color="000000" w:fill="E5F5FB"/>
            <w:vAlign w:val="center"/>
            <w:hideMark/>
          </w:tcPr>
          <w:p w14:paraId="297413DF" w14:textId="77777777" w:rsidR="005B0B27" w:rsidRPr="002E60A8" w:rsidRDefault="005B0B27"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39</w:t>
            </w:r>
          </w:p>
        </w:tc>
        <w:tc>
          <w:tcPr>
            <w:tcW w:w="980" w:type="dxa"/>
            <w:tcBorders>
              <w:top w:val="nil"/>
              <w:left w:val="nil"/>
              <w:bottom w:val="single" w:sz="4" w:space="0" w:color="auto"/>
              <w:right w:val="single" w:sz="8" w:space="0" w:color="auto"/>
            </w:tcBorders>
            <w:shd w:val="clear" w:color="000000" w:fill="E5F5FB"/>
            <w:vAlign w:val="center"/>
            <w:hideMark/>
          </w:tcPr>
          <w:p w14:paraId="652B1931" w14:textId="77777777" w:rsidR="005B0B27" w:rsidRPr="002E60A8" w:rsidRDefault="005B0B27"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92 537</w:t>
            </w:r>
          </w:p>
        </w:tc>
      </w:tr>
      <w:tr w:rsidR="005B0B27" w:rsidRPr="002E60A8" w14:paraId="69BE8A26" w14:textId="77777777" w:rsidTr="005B0B27">
        <w:trPr>
          <w:trHeight w:val="326"/>
        </w:trPr>
        <w:tc>
          <w:tcPr>
            <w:tcW w:w="1180" w:type="dxa"/>
            <w:tcBorders>
              <w:top w:val="nil"/>
              <w:left w:val="single" w:sz="8" w:space="0" w:color="auto"/>
              <w:bottom w:val="single" w:sz="4" w:space="0" w:color="auto"/>
              <w:right w:val="single" w:sz="4" w:space="0" w:color="auto"/>
            </w:tcBorders>
            <w:shd w:val="clear" w:color="000000" w:fill="C0E6F5"/>
            <w:vAlign w:val="center"/>
            <w:hideMark/>
          </w:tcPr>
          <w:p w14:paraId="5B42EE43" w14:textId="77777777" w:rsidR="005B0B27" w:rsidRPr="002E60A8" w:rsidRDefault="005B0B27"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2024</w:t>
            </w:r>
          </w:p>
        </w:tc>
        <w:tc>
          <w:tcPr>
            <w:tcW w:w="980" w:type="dxa"/>
            <w:tcBorders>
              <w:top w:val="nil"/>
              <w:left w:val="nil"/>
              <w:bottom w:val="single" w:sz="4" w:space="0" w:color="auto"/>
              <w:right w:val="single" w:sz="4" w:space="0" w:color="auto"/>
            </w:tcBorders>
            <w:shd w:val="clear" w:color="000000" w:fill="E5F5FB"/>
            <w:vAlign w:val="center"/>
            <w:hideMark/>
          </w:tcPr>
          <w:p w14:paraId="31BB645F" w14:textId="77777777" w:rsidR="005B0B27" w:rsidRPr="002E60A8" w:rsidRDefault="005B0B27"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všetky</w:t>
            </w:r>
          </w:p>
        </w:tc>
        <w:tc>
          <w:tcPr>
            <w:tcW w:w="980" w:type="dxa"/>
            <w:tcBorders>
              <w:top w:val="nil"/>
              <w:left w:val="nil"/>
              <w:bottom w:val="single" w:sz="4" w:space="0" w:color="auto"/>
              <w:right w:val="single" w:sz="4" w:space="0" w:color="auto"/>
            </w:tcBorders>
            <w:shd w:val="clear" w:color="000000" w:fill="E5F5FB"/>
            <w:vAlign w:val="center"/>
            <w:hideMark/>
          </w:tcPr>
          <w:p w14:paraId="7D0656CB" w14:textId="77777777" w:rsidR="005B0B27" w:rsidRPr="002E60A8" w:rsidRDefault="005B0B27"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39</w:t>
            </w:r>
          </w:p>
        </w:tc>
        <w:tc>
          <w:tcPr>
            <w:tcW w:w="980" w:type="dxa"/>
            <w:tcBorders>
              <w:top w:val="nil"/>
              <w:left w:val="nil"/>
              <w:bottom w:val="single" w:sz="4" w:space="0" w:color="auto"/>
              <w:right w:val="single" w:sz="8" w:space="0" w:color="auto"/>
            </w:tcBorders>
            <w:shd w:val="clear" w:color="000000" w:fill="E5F5FB"/>
            <w:vAlign w:val="center"/>
            <w:hideMark/>
          </w:tcPr>
          <w:p w14:paraId="773C921E" w14:textId="77777777" w:rsidR="005B0B27" w:rsidRPr="002E60A8" w:rsidRDefault="005B0B27"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90 341</w:t>
            </w:r>
          </w:p>
        </w:tc>
      </w:tr>
      <w:tr w:rsidR="005B0B27" w:rsidRPr="002E60A8" w14:paraId="75547A22" w14:textId="77777777" w:rsidTr="005B0B27">
        <w:trPr>
          <w:trHeight w:val="340"/>
        </w:trPr>
        <w:tc>
          <w:tcPr>
            <w:tcW w:w="1180" w:type="dxa"/>
            <w:tcBorders>
              <w:top w:val="nil"/>
              <w:left w:val="single" w:sz="8" w:space="0" w:color="auto"/>
              <w:bottom w:val="single" w:sz="8" w:space="0" w:color="auto"/>
              <w:right w:val="single" w:sz="4" w:space="0" w:color="auto"/>
            </w:tcBorders>
            <w:shd w:val="clear" w:color="000000" w:fill="C0E6F5"/>
            <w:vAlign w:val="center"/>
            <w:hideMark/>
          </w:tcPr>
          <w:p w14:paraId="4DC6BA62" w14:textId="77777777" w:rsidR="005B0B27" w:rsidRPr="002E60A8" w:rsidRDefault="005B0B27"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2025</w:t>
            </w:r>
          </w:p>
        </w:tc>
        <w:tc>
          <w:tcPr>
            <w:tcW w:w="980" w:type="dxa"/>
            <w:tcBorders>
              <w:top w:val="nil"/>
              <w:left w:val="nil"/>
              <w:bottom w:val="single" w:sz="8" w:space="0" w:color="auto"/>
              <w:right w:val="single" w:sz="4" w:space="0" w:color="auto"/>
            </w:tcBorders>
            <w:shd w:val="clear" w:color="000000" w:fill="E5F5FB"/>
            <w:vAlign w:val="center"/>
            <w:hideMark/>
          </w:tcPr>
          <w:p w14:paraId="5BE90EA0" w14:textId="77777777" w:rsidR="005B0B27" w:rsidRPr="002E60A8" w:rsidRDefault="005B0B27"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všetky</w:t>
            </w:r>
          </w:p>
        </w:tc>
        <w:tc>
          <w:tcPr>
            <w:tcW w:w="980" w:type="dxa"/>
            <w:tcBorders>
              <w:top w:val="nil"/>
              <w:left w:val="nil"/>
              <w:bottom w:val="single" w:sz="8" w:space="0" w:color="auto"/>
              <w:right w:val="single" w:sz="4" w:space="0" w:color="auto"/>
            </w:tcBorders>
            <w:shd w:val="clear" w:color="000000" w:fill="E5F5FB"/>
            <w:vAlign w:val="center"/>
            <w:hideMark/>
          </w:tcPr>
          <w:p w14:paraId="16E305D7" w14:textId="77777777" w:rsidR="005B0B27" w:rsidRPr="002E60A8" w:rsidRDefault="005B0B27"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39</w:t>
            </w:r>
          </w:p>
        </w:tc>
        <w:tc>
          <w:tcPr>
            <w:tcW w:w="980" w:type="dxa"/>
            <w:tcBorders>
              <w:top w:val="nil"/>
              <w:left w:val="nil"/>
              <w:bottom w:val="single" w:sz="8" w:space="0" w:color="auto"/>
              <w:right w:val="single" w:sz="8" w:space="0" w:color="auto"/>
            </w:tcBorders>
            <w:shd w:val="clear" w:color="000000" w:fill="E5F5FB"/>
            <w:vAlign w:val="center"/>
            <w:hideMark/>
          </w:tcPr>
          <w:p w14:paraId="1E63CA4C" w14:textId="77777777" w:rsidR="005B0B27" w:rsidRPr="002E60A8" w:rsidRDefault="005B0B27" w:rsidP="00BD03AD">
            <w:pPr>
              <w:spacing w:after="0" w:line="240" w:lineRule="auto"/>
              <w:jc w:val="both"/>
              <w:rPr>
                <w:rFonts w:ascii="Aptos" w:eastAsia="Times New Roman" w:hAnsi="Aptos" w:cs="Times New Roman"/>
                <w:color w:val="000000"/>
                <w:kern w:val="0"/>
                <w:lang w:eastAsia="sk-SK"/>
                <w14:ligatures w14:val="none"/>
              </w:rPr>
            </w:pPr>
            <w:r w:rsidRPr="002E60A8">
              <w:rPr>
                <w:rFonts w:ascii="Aptos" w:eastAsia="Times New Roman" w:hAnsi="Aptos" w:cs="Times New Roman"/>
                <w:color w:val="000000"/>
                <w:kern w:val="0"/>
                <w:lang w:eastAsia="sk-SK"/>
                <w14:ligatures w14:val="none"/>
              </w:rPr>
              <w:t>75 845</w:t>
            </w:r>
          </w:p>
        </w:tc>
      </w:tr>
    </w:tbl>
    <w:p w14:paraId="6CCAD70E" w14:textId="32C1265C" w:rsidR="000639BC" w:rsidRDefault="00D0267B" w:rsidP="00BD03AD">
      <w:pPr>
        <w:jc w:val="both"/>
        <w:rPr>
          <w:b/>
          <w:bCs/>
        </w:rPr>
      </w:pPr>
      <w:r>
        <w:rPr>
          <w:b/>
          <w:bCs/>
        </w:rPr>
        <w:t xml:space="preserve">                                                                                      </w:t>
      </w:r>
    </w:p>
    <w:p w14:paraId="70697D7E" w14:textId="048BFC5D" w:rsidR="00B2012B" w:rsidRDefault="00B2012B" w:rsidP="00BD03AD">
      <w:pPr>
        <w:jc w:val="both"/>
      </w:pPr>
      <w:r>
        <w:t xml:space="preserve">Ako ukázala už minuloročná analýza, pokračuje trend poklesu ročného prírastku knižničných jednotiek, za čím vidíme aj fakt, že sa zvyšuje dostupnosť digitalizovaných dokumentov a nakupujú sa licencie na prístup do databáz literatúry, narastajú elektronické informačné zdroje. Mnohé s plnými textami článkov a kapitol z kníh z celého </w:t>
      </w:r>
      <w:r>
        <w:lastRenderedPageBreak/>
        <w:t>sveta. To ukáže aj obnos na nákup licencií a databáz, ktorý je za rok 2025 prvýkrát vyšší, než obnos určený na nákup knižničného fondu (viď analýzu hospodárenia, oddiel VII.)</w:t>
      </w:r>
    </w:p>
    <w:p w14:paraId="570A8D97" w14:textId="1407FC49" w:rsidR="00B2012B" w:rsidRDefault="00B2012B" w:rsidP="00BD03AD">
      <w:pPr>
        <w:jc w:val="both"/>
      </w:pPr>
      <w:r>
        <w:t xml:space="preserve">Pokiaľ ide o oddiel II. </w:t>
      </w:r>
      <w:r w:rsidRPr="00B2012B">
        <w:rPr>
          <w:i/>
          <w:iCs/>
        </w:rPr>
        <w:t>Používatelia</w:t>
      </w:r>
      <w:r w:rsidR="00725C01">
        <w:t xml:space="preserve">, porovnanie sledovaných rokov a údajov z riadkov </w:t>
      </w:r>
      <w:r w:rsidR="00725C01" w:rsidRPr="00725C01">
        <w:rPr>
          <w:b/>
          <w:bCs/>
        </w:rPr>
        <w:t>0208 – Návštevníci knižnice (fyzické návštevy) a 0209 – Virtuálni návštevníci</w:t>
      </w:r>
      <w:r w:rsidR="00725C01">
        <w:t xml:space="preserve"> vyzerá takto:</w:t>
      </w:r>
    </w:p>
    <w:p w14:paraId="17018A2F" w14:textId="5504913D" w:rsidR="00725C01" w:rsidRDefault="0006079A" w:rsidP="00BD03AD">
      <w:pPr>
        <w:jc w:val="both"/>
        <w:rPr>
          <w:noProof/>
        </w:rPr>
      </w:pPr>
      <w:r>
        <w:rPr>
          <w:noProof/>
        </w:rPr>
        <w:drawing>
          <wp:inline distT="0" distB="0" distL="0" distR="0" wp14:anchorId="2B44B09F" wp14:editId="22534536">
            <wp:extent cx="5476875" cy="3152775"/>
            <wp:effectExtent l="0" t="0" r="9525" b="9525"/>
            <wp:docPr id="1014502556" name="Graf 5" descr="Fyzickí a virtuálni návštevníci"/>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3080C44" w14:textId="77777777" w:rsidR="000549B0" w:rsidRDefault="000549B0" w:rsidP="00BD03AD">
      <w:pPr>
        <w:jc w:val="both"/>
        <w:rPr>
          <w:noProof/>
        </w:rPr>
      </w:pPr>
    </w:p>
    <w:p w14:paraId="37E0C4F1" w14:textId="11126168" w:rsidR="00541656" w:rsidRDefault="002D4F88" w:rsidP="00BD03AD">
      <w:pPr>
        <w:jc w:val="both"/>
      </w:pPr>
      <w:r>
        <w:t>T</w:t>
      </w:r>
      <w:r w:rsidR="00541656">
        <w:t>u vidíme postupný nárast počtu virtuálnych návštevníkov AK (návštevy cez web alebo unikátnu IP adresu) na úkor fyzických návštev, čo potvrdzuje aj zvyšovanie objemu  dostupných elektronických informačných zdrojov. Tento trend je dlhodobý, avšak stále neboli dosiahnuté čísla z rokov pred nástupom COVID pandémie, keď počet fyzických návštev dosahoval hodnoty nad 1 000 000 a počet virtuálnych návštevníkov bol nad 3 000</w:t>
      </w:r>
      <w:r w:rsidR="00BD03AD">
        <w:t> </w:t>
      </w:r>
      <w:r w:rsidR="00541656">
        <w:t>000.</w:t>
      </w:r>
    </w:p>
    <w:p w14:paraId="00E7D083" w14:textId="77777777" w:rsidR="00BD03AD" w:rsidRDefault="00BD03AD" w:rsidP="00BD03AD">
      <w:pPr>
        <w:jc w:val="both"/>
      </w:pPr>
    </w:p>
    <w:p w14:paraId="4D82C8E6" w14:textId="77777777" w:rsidR="00BD03AD" w:rsidRDefault="00BD03AD" w:rsidP="00BD03AD">
      <w:pPr>
        <w:jc w:val="both"/>
      </w:pPr>
    </w:p>
    <w:p w14:paraId="24A63279" w14:textId="77777777" w:rsidR="00BD03AD" w:rsidRDefault="00BD03AD" w:rsidP="00BD03AD">
      <w:pPr>
        <w:jc w:val="both"/>
      </w:pPr>
    </w:p>
    <w:p w14:paraId="55F07676" w14:textId="77777777" w:rsidR="00BD03AD" w:rsidRDefault="00BD03AD" w:rsidP="00BD03AD">
      <w:pPr>
        <w:jc w:val="both"/>
      </w:pPr>
    </w:p>
    <w:p w14:paraId="19FCC6AB" w14:textId="77777777" w:rsidR="00BD03AD" w:rsidRDefault="00BD03AD" w:rsidP="00BD03AD">
      <w:pPr>
        <w:jc w:val="both"/>
      </w:pPr>
    </w:p>
    <w:p w14:paraId="0A9045F4" w14:textId="77777777" w:rsidR="00BD03AD" w:rsidRDefault="00BD03AD" w:rsidP="00BD03AD">
      <w:pPr>
        <w:jc w:val="both"/>
      </w:pPr>
    </w:p>
    <w:p w14:paraId="61FF0E45" w14:textId="77777777" w:rsidR="00BD03AD" w:rsidRDefault="00BD03AD" w:rsidP="00BD03AD">
      <w:pPr>
        <w:jc w:val="both"/>
      </w:pPr>
    </w:p>
    <w:p w14:paraId="15AFD44F" w14:textId="77777777" w:rsidR="00BD03AD" w:rsidRDefault="00BD03AD" w:rsidP="00BD03AD">
      <w:pPr>
        <w:jc w:val="both"/>
      </w:pPr>
    </w:p>
    <w:p w14:paraId="35C4FFB7" w14:textId="7EC078F9" w:rsidR="00541656" w:rsidRPr="00541656" w:rsidRDefault="00541656" w:rsidP="00BD03AD">
      <w:pPr>
        <w:jc w:val="both"/>
      </w:pPr>
      <w:r>
        <w:lastRenderedPageBreak/>
        <w:t xml:space="preserve">V oddiele III. </w:t>
      </w:r>
      <w:r w:rsidRPr="00541656">
        <w:rPr>
          <w:i/>
          <w:iCs/>
        </w:rPr>
        <w:t>Výpožičky a</w:t>
      </w:r>
      <w:r>
        <w:rPr>
          <w:i/>
          <w:iCs/>
        </w:rPr>
        <w:t> </w:t>
      </w:r>
      <w:r w:rsidRPr="00541656">
        <w:rPr>
          <w:i/>
          <w:iCs/>
        </w:rPr>
        <w:t>služby</w:t>
      </w:r>
      <w:r>
        <w:t xml:space="preserve"> sme si vybrali </w:t>
      </w:r>
      <w:r w:rsidR="006E601A">
        <w:t xml:space="preserve">na porovnanie </w:t>
      </w:r>
      <w:r>
        <w:t xml:space="preserve">ukazovatele </w:t>
      </w:r>
      <w:r w:rsidR="006E601A" w:rsidRPr="006E601A">
        <w:rPr>
          <w:b/>
          <w:bCs/>
        </w:rPr>
        <w:t>Prezenčné výpožičky – riadok 0302  a Absenčné výpožičky – riadok 0303</w:t>
      </w:r>
      <w:r w:rsidR="006E601A">
        <w:rPr>
          <w:b/>
          <w:bCs/>
        </w:rPr>
        <w:t>:</w:t>
      </w:r>
    </w:p>
    <w:tbl>
      <w:tblPr>
        <w:tblStyle w:val="Mriekatabuky"/>
        <w:tblW w:w="0" w:type="auto"/>
        <w:tblLook w:val="04A0" w:firstRow="1" w:lastRow="0" w:firstColumn="1" w:lastColumn="0" w:noHBand="0" w:noVBand="1"/>
      </w:tblPr>
      <w:tblGrid>
        <w:gridCol w:w="1271"/>
        <w:gridCol w:w="1276"/>
        <w:gridCol w:w="1134"/>
        <w:gridCol w:w="1298"/>
        <w:gridCol w:w="1250"/>
      </w:tblGrid>
      <w:tr w:rsidR="00387E2C" w14:paraId="1F120648" w14:textId="77777777" w:rsidTr="00154CCE">
        <w:trPr>
          <w:trHeight w:val="861"/>
        </w:trPr>
        <w:tc>
          <w:tcPr>
            <w:tcW w:w="1271" w:type="dxa"/>
            <w:shd w:val="clear" w:color="auto" w:fill="C0E6F5"/>
          </w:tcPr>
          <w:p w14:paraId="00B7EDE4" w14:textId="77777777" w:rsidR="006D7A2B" w:rsidRDefault="006D7A2B" w:rsidP="00BD03AD">
            <w:pPr>
              <w:jc w:val="both"/>
            </w:pPr>
          </w:p>
          <w:p w14:paraId="001FD40F" w14:textId="41C01379" w:rsidR="00387E2C" w:rsidRDefault="006D7A2B" w:rsidP="00BD03AD">
            <w:pPr>
              <w:jc w:val="both"/>
            </w:pPr>
            <w:r>
              <w:t>Typ VŠ</w:t>
            </w:r>
          </w:p>
        </w:tc>
        <w:tc>
          <w:tcPr>
            <w:tcW w:w="1276" w:type="dxa"/>
            <w:shd w:val="clear" w:color="auto" w:fill="C0E6F5"/>
          </w:tcPr>
          <w:p w14:paraId="75D97896" w14:textId="77777777" w:rsidR="00387E2C" w:rsidRDefault="00387E2C" w:rsidP="00BD03AD">
            <w:pPr>
              <w:jc w:val="both"/>
            </w:pPr>
          </w:p>
          <w:p w14:paraId="6016FB6B" w14:textId="4513E19F" w:rsidR="00F132D2" w:rsidRDefault="00F132D2" w:rsidP="00BD03AD">
            <w:pPr>
              <w:jc w:val="both"/>
            </w:pPr>
            <w:r>
              <w:t>Rok</w:t>
            </w:r>
          </w:p>
        </w:tc>
        <w:tc>
          <w:tcPr>
            <w:tcW w:w="1134" w:type="dxa"/>
            <w:shd w:val="clear" w:color="auto" w:fill="C0E6F5"/>
          </w:tcPr>
          <w:p w14:paraId="34448BF1" w14:textId="77777777" w:rsidR="00387E2C" w:rsidRDefault="00387E2C" w:rsidP="00BD03AD">
            <w:pPr>
              <w:jc w:val="both"/>
            </w:pPr>
          </w:p>
          <w:p w14:paraId="45CCA439" w14:textId="77777777" w:rsidR="00F132D2" w:rsidRDefault="00F132D2" w:rsidP="00BD03AD">
            <w:pPr>
              <w:jc w:val="both"/>
            </w:pPr>
            <w:r>
              <w:t>Počet</w:t>
            </w:r>
          </w:p>
          <w:p w14:paraId="6CB82C02" w14:textId="0BF58360" w:rsidR="00F132D2" w:rsidRDefault="00F132D2" w:rsidP="00BD03AD">
            <w:pPr>
              <w:jc w:val="both"/>
            </w:pPr>
            <w:r>
              <w:t>výkazov</w:t>
            </w:r>
          </w:p>
        </w:tc>
        <w:tc>
          <w:tcPr>
            <w:tcW w:w="1276" w:type="dxa"/>
            <w:shd w:val="clear" w:color="auto" w:fill="C0E6F5"/>
          </w:tcPr>
          <w:p w14:paraId="7086406C" w14:textId="51E4EBBD" w:rsidR="00387E2C" w:rsidRDefault="00F132D2" w:rsidP="00BD03AD">
            <w:pPr>
              <w:jc w:val="both"/>
            </w:pPr>
            <w:r>
              <w:t>Riadok</w:t>
            </w:r>
          </w:p>
          <w:p w14:paraId="60343195" w14:textId="77777777" w:rsidR="00F132D2" w:rsidRDefault="00F132D2" w:rsidP="00BD03AD">
            <w:pPr>
              <w:jc w:val="both"/>
            </w:pPr>
            <w:r>
              <w:t>0302</w:t>
            </w:r>
          </w:p>
          <w:p w14:paraId="2FC74DDC" w14:textId="77777777" w:rsidR="00F132D2" w:rsidRDefault="00F132D2" w:rsidP="00BD03AD">
            <w:pPr>
              <w:jc w:val="both"/>
            </w:pPr>
            <w:r>
              <w:t>Prezenčné</w:t>
            </w:r>
          </w:p>
          <w:p w14:paraId="707D45C7" w14:textId="7B6AF925" w:rsidR="00F132D2" w:rsidRDefault="00F132D2" w:rsidP="00BD03AD">
            <w:pPr>
              <w:jc w:val="both"/>
            </w:pPr>
            <w:r>
              <w:t>výpožičky</w:t>
            </w:r>
          </w:p>
        </w:tc>
        <w:tc>
          <w:tcPr>
            <w:tcW w:w="1134" w:type="dxa"/>
            <w:shd w:val="clear" w:color="auto" w:fill="C0E6F5"/>
          </w:tcPr>
          <w:p w14:paraId="4EB9F299" w14:textId="77777777" w:rsidR="00387E2C" w:rsidRPr="00F132D2" w:rsidRDefault="00F132D2" w:rsidP="00BD03AD">
            <w:pPr>
              <w:jc w:val="both"/>
            </w:pPr>
            <w:r w:rsidRPr="00F132D2">
              <w:t>Riadok</w:t>
            </w:r>
          </w:p>
          <w:p w14:paraId="0EABB7CD" w14:textId="77777777" w:rsidR="00F132D2" w:rsidRPr="00F132D2" w:rsidRDefault="00F132D2" w:rsidP="00BD03AD">
            <w:pPr>
              <w:jc w:val="both"/>
            </w:pPr>
            <w:r w:rsidRPr="00F132D2">
              <w:t>0303</w:t>
            </w:r>
          </w:p>
          <w:p w14:paraId="10EAE9A5" w14:textId="4B647271" w:rsidR="00F132D2" w:rsidRPr="00F132D2" w:rsidRDefault="00F132D2" w:rsidP="00BD03AD">
            <w:pPr>
              <w:jc w:val="both"/>
            </w:pPr>
            <w:r w:rsidRPr="00F132D2">
              <w:t>Absenčné výpožičky</w:t>
            </w:r>
          </w:p>
        </w:tc>
      </w:tr>
      <w:tr w:rsidR="00387E2C" w14:paraId="6CD2432E" w14:textId="77777777" w:rsidTr="008A7B25">
        <w:trPr>
          <w:trHeight w:val="845"/>
        </w:trPr>
        <w:tc>
          <w:tcPr>
            <w:tcW w:w="1271" w:type="dxa"/>
            <w:shd w:val="clear" w:color="auto" w:fill="C0E6F5"/>
          </w:tcPr>
          <w:p w14:paraId="4A2815F2" w14:textId="77777777" w:rsidR="00387E2C" w:rsidRDefault="00387E2C" w:rsidP="00BD03AD">
            <w:pPr>
              <w:jc w:val="both"/>
            </w:pPr>
          </w:p>
          <w:p w14:paraId="609216BA" w14:textId="18B90BF1" w:rsidR="00F132D2" w:rsidRDefault="00F132D2" w:rsidP="00BD03AD">
            <w:pPr>
              <w:jc w:val="both"/>
            </w:pPr>
            <w:r>
              <w:t>verejné</w:t>
            </w:r>
          </w:p>
        </w:tc>
        <w:tc>
          <w:tcPr>
            <w:tcW w:w="1276" w:type="dxa"/>
            <w:shd w:val="clear" w:color="auto" w:fill="FFCC99"/>
          </w:tcPr>
          <w:p w14:paraId="229F1377" w14:textId="77777777" w:rsidR="00387E2C" w:rsidRDefault="00F132D2" w:rsidP="00BD03AD">
            <w:pPr>
              <w:jc w:val="both"/>
            </w:pPr>
            <w:r>
              <w:t>2023</w:t>
            </w:r>
          </w:p>
          <w:p w14:paraId="7D5CCB1E" w14:textId="77777777" w:rsidR="00F132D2" w:rsidRDefault="00F132D2" w:rsidP="00BD03AD">
            <w:pPr>
              <w:jc w:val="both"/>
            </w:pPr>
            <w:r>
              <w:t>2024</w:t>
            </w:r>
          </w:p>
          <w:p w14:paraId="5F7EC86B" w14:textId="65948A52" w:rsidR="00F132D2" w:rsidRDefault="00F132D2" w:rsidP="00BD03AD">
            <w:pPr>
              <w:jc w:val="both"/>
            </w:pPr>
            <w:r>
              <w:t>2025</w:t>
            </w:r>
          </w:p>
        </w:tc>
        <w:tc>
          <w:tcPr>
            <w:tcW w:w="1134" w:type="dxa"/>
            <w:shd w:val="clear" w:color="auto" w:fill="FFCC99"/>
          </w:tcPr>
          <w:p w14:paraId="2F10FDCA" w14:textId="6BFB6227" w:rsidR="00F132D2" w:rsidRDefault="00D441CB" w:rsidP="00BD03AD">
            <w:pPr>
              <w:jc w:val="both"/>
            </w:pPr>
            <w:r>
              <w:t>26</w:t>
            </w:r>
          </w:p>
          <w:p w14:paraId="5761D354" w14:textId="39DA6267" w:rsidR="00EF17D5" w:rsidRDefault="00D441CB" w:rsidP="00BD03AD">
            <w:pPr>
              <w:jc w:val="both"/>
            </w:pPr>
            <w:r>
              <w:t>26</w:t>
            </w:r>
          </w:p>
          <w:p w14:paraId="1DDB8B76" w14:textId="7E3F2455" w:rsidR="00387E2C" w:rsidRDefault="00F132D2" w:rsidP="00BD03AD">
            <w:pPr>
              <w:jc w:val="both"/>
            </w:pPr>
            <w:r>
              <w:t>26</w:t>
            </w:r>
          </w:p>
        </w:tc>
        <w:tc>
          <w:tcPr>
            <w:tcW w:w="1276" w:type="dxa"/>
            <w:shd w:val="clear" w:color="auto" w:fill="FFCC99"/>
          </w:tcPr>
          <w:p w14:paraId="1E2927F7" w14:textId="63244619" w:rsidR="00387E2C" w:rsidRDefault="00D441CB" w:rsidP="00BD03AD">
            <w:pPr>
              <w:jc w:val="both"/>
            </w:pPr>
            <w:r>
              <w:t>964 389</w:t>
            </w:r>
          </w:p>
          <w:p w14:paraId="7CEC7FF3" w14:textId="1E15E5B0" w:rsidR="00EF17D5" w:rsidRDefault="00D441CB" w:rsidP="00BD03AD">
            <w:pPr>
              <w:jc w:val="both"/>
            </w:pPr>
            <w:r>
              <w:t>748 597</w:t>
            </w:r>
          </w:p>
          <w:p w14:paraId="0A81F880" w14:textId="5EF5207F" w:rsidR="008B45C0" w:rsidRDefault="008B45C0" w:rsidP="00BD03AD">
            <w:pPr>
              <w:jc w:val="both"/>
            </w:pPr>
            <w:r>
              <w:t>623 855</w:t>
            </w:r>
          </w:p>
        </w:tc>
        <w:tc>
          <w:tcPr>
            <w:tcW w:w="1134" w:type="dxa"/>
            <w:shd w:val="clear" w:color="auto" w:fill="FFCC99"/>
          </w:tcPr>
          <w:p w14:paraId="64F5ADE6" w14:textId="41761B76" w:rsidR="00387E2C" w:rsidRDefault="00D441CB" w:rsidP="00BD03AD">
            <w:pPr>
              <w:jc w:val="both"/>
            </w:pPr>
            <w:r>
              <w:t>823 602</w:t>
            </w:r>
          </w:p>
          <w:p w14:paraId="41950131" w14:textId="3C86F1D9" w:rsidR="00EF17D5" w:rsidRDefault="00D441CB" w:rsidP="00BD03AD">
            <w:pPr>
              <w:jc w:val="both"/>
            </w:pPr>
            <w:r>
              <w:t>820 112</w:t>
            </w:r>
          </w:p>
          <w:p w14:paraId="3726F6AE" w14:textId="17F588FD" w:rsidR="008B45C0" w:rsidRPr="00F132D2" w:rsidRDefault="008B45C0" w:rsidP="00BD03AD">
            <w:pPr>
              <w:jc w:val="both"/>
            </w:pPr>
            <w:r>
              <w:t>785 888</w:t>
            </w:r>
          </w:p>
        </w:tc>
      </w:tr>
      <w:tr w:rsidR="00387E2C" w14:paraId="1ACBC523" w14:textId="77777777" w:rsidTr="008A7B25">
        <w:trPr>
          <w:trHeight w:val="971"/>
        </w:trPr>
        <w:tc>
          <w:tcPr>
            <w:tcW w:w="1271" w:type="dxa"/>
            <w:shd w:val="clear" w:color="auto" w:fill="C0E6F5"/>
          </w:tcPr>
          <w:p w14:paraId="75721723" w14:textId="77777777" w:rsidR="00387E2C" w:rsidRDefault="00387E2C" w:rsidP="00BD03AD">
            <w:pPr>
              <w:jc w:val="both"/>
            </w:pPr>
          </w:p>
          <w:p w14:paraId="0E35F3AB" w14:textId="0D60CB4A" w:rsidR="00F132D2" w:rsidRDefault="00F132D2" w:rsidP="00BD03AD">
            <w:pPr>
              <w:jc w:val="both"/>
            </w:pPr>
            <w:r>
              <w:t>štátne</w:t>
            </w:r>
          </w:p>
        </w:tc>
        <w:tc>
          <w:tcPr>
            <w:tcW w:w="1276" w:type="dxa"/>
            <w:shd w:val="clear" w:color="auto" w:fill="D9F2D0" w:themeFill="accent6" w:themeFillTint="33"/>
          </w:tcPr>
          <w:p w14:paraId="24220672" w14:textId="77777777" w:rsidR="00387E2C" w:rsidRDefault="00F132D2" w:rsidP="00BD03AD">
            <w:pPr>
              <w:jc w:val="both"/>
            </w:pPr>
            <w:r>
              <w:t>2023</w:t>
            </w:r>
          </w:p>
          <w:p w14:paraId="174CE6E9" w14:textId="77777777" w:rsidR="00F132D2" w:rsidRDefault="00F132D2" w:rsidP="00BD03AD">
            <w:pPr>
              <w:jc w:val="both"/>
            </w:pPr>
            <w:r>
              <w:t>2024</w:t>
            </w:r>
          </w:p>
          <w:p w14:paraId="46D1AE74" w14:textId="0BE26E8D" w:rsidR="00F132D2" w:rsidRDefault="00F132D2" w:rsidP="00BD03AD">
            <w:pPr>
              <w:jc w:val="both"/>
            </w:pPr>
            <w:r>
              <w:t>2025</w:t>
            </w:r>
          </w:p>
        </w:tc>
        <w:tc>
          <w:tcPr>
            <w:tcW w:w="1134" w:type="dxa"/>
            <w:shd w:val="clear" w:color="auto" w:fill="D9F2D0" w:themeFill="accent6" w:themeFillTint="33"/>
          </w:tcPr>
          <w:p w14:paraId="22FD7E6F" w14:textId="09FDCF1B" w:rsidR="00F132D2" w:rsidRDefault="00D441CB" w:rsidP="00BD03AD">
            <w:pPr>
              <w:jc w:val="both"/>
            </w:pPr>
            <w:r>
              <w:t>3</w:t>
            </w:r>
          </w:p>
          <w:p w14:paraId="2D45B4BB" w14:textId="68FEEF6F" w:rsidR="00EF17D5" w:rsidRDefault="00D441CB" w:rsidP="00BD03AD">
            <w:pPr>
              <w:jc w:val="both"/>
            </w:pPr>
            <w:r>
              <w:t>3</w:t>
            </w:r>
          </w:p>
          <w:p w14:paraId="751E6EFB" w14:textId="0C5B7FE2" w:rsidR="00387E2C" w:rsidRDefault="00F132D2" w:rsidP="00BD03AD">
            <w:pPr>
              <w:jc w:val="both"/>
            </w:pPr>
            <w:r>
              <w:t>3</w:t>
            </w:r>
          </w:p>
        </w:tc>
        <w:tc>
          <w:tcPr>
            <w:tcW w:w="1276" w:type="dxa"/>
            <w:shd w:val="clear" w:color="auto" w:fill="D9F2D0" w:themeFill="accent6" w:themeFillTint="33"/>
          </w:tcPr>
          <w:p w14:paraId="5D2BD753" w14:textId="5B72FB10" w:rsidR="008B45C0" w:rsidRDefault="00D441CB" w:rsidP="00BD03AD">
            <w:pPr>
              <w:jc w:val="both"/>
            </w:pPr>
            <w:r>
              <w:t>3 586</w:t>
            </w:r>
          </w:p>
          <w:p w14:paraId="52D96CDC" w14:textId="63B40A5B" w:rsidR="00EF17D5" w:rsidRDefault="00D441CB" w:rsidP="00BD03AD">
            <w:pPr>
              <w:jc w:val="both"/>
            </w:pPr>
            <w:r>
              <w:t>1 810</w:t>
            </w:r>
          </w:p>
          <w:p w14:paraId="2B948108" w14:textId="6633232D" w:rsidR="00387E2C" w:rsidRDefault="008B45C0" w:rsidP="00BD03AD">
            <w:pPr>
              <w:jc w:val="both"/>
            </w:pPr>
            <w:r>
              <w:t>1 245</w:t>
            </w:r>
          </w:p>
        </w:tc>
        <w:tc>
          <w:tcPr>
            <w:tcW w:w="1134" w:type="dxa"/>
            <w:shd w:val="clear" w:color="auto" w:fill="D9F2D0" w:themeFill="accent6" w:themeFillTint="33"/>
          </w:tcPr>
          <w:p w14:paraId="6BDF3F40" w14:textId="3772A3EE" w:rsidR="00387E2C" w:rsidRDefault="00815507" w:rsidP="00BD03AD">
            <w:pPr>
              <w:jc w:val="both"/>
            </w:pPr>
            <w:r>
              <w:t>25 611</w:t>
            </w:r>
          </w:p>
          <w:p w14:paraId="6BA5F643" w14:textId="7237FCAB" w:rsidR="00EF17D5" w:rsidRDefault="00815507" w:rsidP="00BD03AD">
            <w:pPr>
              <w:jc w:val="both"/>
            </w:pPr>
            <w:r>
              <w:t>22 251</w:t>
            </w:r>
          </w:p>
          <w:p w14:paraId="7B26CE78" w14:textId="7A3202E5" w:rsidR="008B45C0" w:rsidRDefault="008B45C0" w:rsidP="00BD03AD">
            <w:pPr>
              <w:jc w:val="both"/>
            </w:pPr>
            <w:r>
              <w:t>16 156</w:t>
            </w:r>
          </w:p>
        </w:tc>
      </w:tr>
      <w:tr w:rsidR="00387E2C" w14:paraId="5141A624" w14:textId="77777777" w:rsidTr="008A7B25">
        <w:trPr>
          <w:trHeight w:val="998"/>
        </w:trPr>
        <w:tc>
          <w:tcPr>
            <w:tcW w:w="1271" w:type="dxa"/>
            <w:shd w:val="clear" w:color="auto" w:fill="C0E6F5"/>
          </w:tcPr>
          <w:p w14:paraId="67B5F34A" w14:textId="77777777" w:rsidR="00387E2C" w:rsidRDefault="00387E2C" w:rsidP="00BD03AD">
            <w:pPr>
              <w:jc w:val="both"/>
            </w:pPr>
          </w:p>
          <w:p w14:paraId="4345F0E1" w14:textId="428769DE" w:rsidR="00F132D2" w:rsidRDefault="00F132D2" w:rsidP="00BD03AD">
            <w:pPr>
              <w:jc w:val="both"/>
            </w:pPr>
            <w:r>
              <w:t>súkromné</w:t>
            </w:r>
          </w:p>
        </w:tc>
        <w:tc>
          <w:tcPr>
            <w:tcW w:w="1276" w:type="dxa"/>
            <w:shd w:val="clear" w:color="auto" w:fill="FFFF99"/>
          </w:tcPr>
          <w:p w14:paraId="210810B9" w14:textId="77777777" w:rsidR="00387E2C" w:rsidRDefault="00F132D2" w:rsidP="00BD03AD">
            <w:pPr>
              <w:jc w:val="both"/>
            </w:pPr>
            <w:r>
              <w:t>2023</w:t>
            </w:r>
          </w:p>
          <w:p w14:paraId="2BE13839" w14:textId="77777777" w:rsidR="00F132D2" w:rsidRDefault="00F132D2" w:rsidP="00BD03AD">
            <w:pPr>
              <w:jc w:val="both"/>
            </w:pPr>
            <w:r>
              <w:t>2024</w:t>
            </w:r>
          </w:p>
          <w:p w14:paraId="6D36AF72" w14:textId="7561B28D" w:rsidR="00F132D2" w:rsidRDefault="00F132D2" w:rsidP="00BD03AD">
            <w:pPr>
              <w:jc w:val="both"/>
            </w:pPr>
            <w:r>
              <w:t>2025</w:t>
            </w:r>
          </w:p>
        </w:tc>
        <w:tc>
          <w:tcPr>
            <w:tcW w:w="1134" w:type="dxa"/>
            <w:shd w:val="clear" w:color="auto" w:fill="FFFF99"/>
          </w:tcPr>
          <w:p w14:paraId="70C4560A" w14:textId="51E3F558" w:rsidR="00F132D2" w:rsidRDefault="00D441CB" w:rsidP="00BD03AD">
            <w:pPr>
              <w:jc w:val="both"/>
            </w:pPr>
            <w:r>
              <w:t>10</w:t>
            </w:r>
          </w:p>
          <w:p w14:paraId="716A4AF3" w14:textId="35B38346" w:rsidR="00EF17D5" w:rsidRDefault="00D441CB" w:rsidP="00BD03AD">
            <w:pPr>
              <w:jc w:val="both"/>
            </w:pPr>
            <w:r>
              <w:t>10</w:t>
            </w:r>
          </w:p>
          <w:p w14:paraId="65F58732" w14:textId="58E557E8" w:rsidR="00387E2C" w:rsidRDefault="00F132D2" w:rsidP="00BD03AD">
            <w:pPr>
              <w:jc w:val="both"/>
            </w:pPr>
            <w:r>
              <w:t>10</w:t>
            </w:r>
          </w:p>
        </w:tc>
        <w:tc>
          <w:tcPr>
            <w:tcW w:w="1276" w:type="dxa"/>
            <w:shd w:val="clear" w:color="auto" w:fill="FFFF99"/>
          </w:tcPr>
          <w:p w14:paraId="2720B509" w14:textId="7ACCE220" w:rsidR="008B45C0" w:rsidRDefault="00815507" w:rsidP="00BD03AD">
            <w:pPr>
              <w:jc w:val="both"/>
            </w:pPr>
            <w:r>
              <w:t>4 064</w:t>
            </w:r>
          </w:p>
          <w:p w14:paraId="0CFEBB32" w14:textId="392CE95E" w:rsidR="00EF17D5" w:rsidRDefault="00815507" w:rsidP="00BD03AD">
            <w:pPr>
              <w:jc w:val="both"/>
            </w:pPr>
            <w:r>
              <w:t>4 217</w:t>
            </w:r>
          </w:p>
          <w:p w14:paraId="175080D4" w14:textId="15CA4D28" w:rsidR="00387E2C" w:rsidRDefault="008B45C0" w:rsidP="00BD03AD">
            <w:pPr>
              <w:jc w:val="both"/>
            </w:pPr>
            <w:r>
              <w:t>3 959</w:t>
            </w:r>
          </w:p>
        </w:tc>
        <w:tc>
          <w:tcPr>
            <w:tcW w:w="1134" w:type="dxa"/>
            <w:shd w:val="clear" w:color="auto" w:fill="FFFF99"/>
          </w:tcPr>
          <w:p w14:paraId="115591BB" w14:textId="0C6E4DCF" w:rsidR="00387E2C" w:rsidRDefault="00815507" w:rsidP="00BD03AD">
            <w:pPr>
              <w:jc w:val="both"/>
            </w:pPr>
            <w:r>
              <w:t>24 255</w:t>
            </w:r>
          </w:p>
          <w:p w14:paraId="39F0A3D4" w14:textId="17558644" w:rsidR="00EF17D5" w:rsidRDefault="00815507" w:rsidP="00BD03AD">
            <w:pPr>
              <w:jc w:val="both"/>
            </w:pPr>
            <w:r>
              <w:t>26 370</w:t>
            </w:r>
          </w:p>
          <w:p w14:paraId="066AFB91" w14:textId="23602177" w:rsidR="008B45C0" w:rsidRDefault="008B45C0" w:rsidP="00BD03AD">
            <w:pPr>
              <w:jc w:val="both"/>
            </w:pPr>
            <w:r>
              <w:t>36 125</w:t>
            </w:r>
          </w:p>
        </w:tc>
      </w:tr>
    </w:tbl>
    <w:p w14:paraId="213988F8" w14:textId="77777777" w:rsidR="00541656" w:rsidRDefault="00541656" w:rsidP="00BD03AD">
      <w:pPr>
        <w:jc w:val="both"/>
      </w:pPr>
    </w:p>
    <w:tbl>
      <w:tblPr>
        <w:tblStyle w:val="Mriekatabuky"/>
        <w:tblW w:w="0" w:type="auto"/>
        <w:tblLook w:val="04A0" w:firstRow="1" w:lastRow="0" w:firstColumn="1" w:lastColumn="0" w:noHBand="0" w:noVBand="1"/>
      </w:tblPr>
      <w:tblGrid>
        <w:gridCol w:w="1271"/>
        <w:gridCol w:w="1276"/>
        <w:gridCol w:w="1298"/>
        <w:gridCol w:w="1250"/>
      </w:tblGrid>
      <w:tr w:rsidR="007D5CB9" w14:paraId="19F29014" w14:textId="77777777" w:rsidTr="00A412D5">
        <w:trPr>
          <w:trHeight w:val="955"/>
        </w:trPr>
        <w:tc>
          <w:tcPr>
            <w:tcW w:w="1271" w:type="dxa"/>
            <w:shd w:val="clear" w:color="auto" w:fill="C0E6F5"/>
          </w:tcPr>
          <w:p w14:paraId="1B383EC4" w14:textId="77777777" w:rsidR="007D5CB9" w:rsidRDefault="007D5CB9" w:rsidP="00BD03AD">
            <w:pPr>
              <w:jc w:val="both"/>
            </w:pPr>
          </w:p>
          <w:p w14:paraId="362C6653" w14:textId="3D9C453E" w:rsidR="00B55FD3" w:rsidRDefault="00B55FD3" w:rsidP="00BD03AD">
            <w:pPr>
              <w:jc w:val="both"/>
            </w:pPr>
            <w:r>
              <w:t>Rok</w:t>
            </w:r>
          </w:p>
        </w:tc>
        <w:tc>
          <w:tcPr>
            <w:tcW w:w="1276" w:type="dxa"/>
            <w:shd w:val="clear" w:color="auto" w:fill="C0E6F5"/>
          </w:tcPr>
          <w:p w14:paraId="37D732D8" w14:textId="77777777" w:rsidR="00B55FD3" w:rsidRDefault="00B55FD3" w:rsidP="00BD03AD">
            <w:pPr>
              <w:jc w:val="both"/>
            </w:pPr>
          </w:p>
          <w:p w14:paraId="605E4AE1" w14:textId="20820A70" w:rsidR="007D5CB9" w:rsidRDefault="00B55FD3" w:rsidP="00BD03AD">
            <w:pPr>
              <w:jc w:val="both"/>
            </w:pPr>
            <w:r>
              <w:t>Typ VŠ</w:t>
            </w:r>
          </w:p>
        </w:tc>
        <w:tc>
          <w:tcPr>
            <w:tcW w:w="1298" w:type="dxa"/>
            <w:shd w:val="clear" w:color="auto" w:fill="C0E6F5"/>
          </w:tcPr>
          <w:p w14:paraId="1A577266" w14:textId="77777777" w:rsidR="007D5CB9" w:rsidRDefault="00B55FD3" w:rsidP="00BD03AD">
            <w:pPr>
              <w:jc w:val="both"/>
            </w:pPr>
            <w:r>
              <w:t>R. 0302</w:t>
            </w:r>
          </w:p>
          <w:p w14:paraId="2C741B29" w14:textId="223CDCE8" w:rsidR="00B55FD3" w:rsidRDefault="00B55FD3" w:rsidP="00BD03AD">
            <w:pPr>
              <w:jc w:val="both"/>
            </w:pPr>
            <w:r>
              <w:t>Prezenčné</w:t>
            </w:r>
          </w:p>
          <w:p w14:paraId="1C6B7394" w14:textId="33C2F02C" w:rsidR="00B55FD3" w:rsidRDefault="00B55FD3" w:rsidP="00BD03AD">
            <w:pPr>
              <w:jc w:val="both"/>
            </w:pPr>
            <w:r>
              <w:t>výpožičky</w:t>
            </w:r>
          </w:p>
        </w:tc>
        <w:tc>
          <w:tcPr>
            <w:tcW w:w="1250" w:type="dxa"/>
            <w:shd w:val="clear" w:color="auto" w:fill="C0E6F5"/>
          </w:tcPr>
          <w:p w14:paraId="645BE7D5" w14:textId="77777777" w:rsidR="007D5CB9" w:rsidRDefault="00B55FD3" w:rsidP="00BD03AD">
            <w:pPr>
              <w:jc w:val="both"/>
            </w:pPr>
            <w:r>
              <w:t>R. 0303</w:t>
            </w:r>
          </w:p>
          <w:p w14:paraId="66E0CF0A" w14:textId="77777777" w:rsidR="00B55FD3" w:rsidRDefault="00B55FD3" w:rsidP="00BD03AD">
            <w:pPr>
              <w:jc w:val="both"/>
            </w:pPr>
            <w:r>
              <w:t>Absenčné</w:t>
            </w:r>
          </w:p>
          <w:p w14:paraId="613DC670" w14:textId="51AAD868" w:rsidR="00B55FD3" w:rsidRDefault="00B55FD3" w:rsidP="00BD03AD">
            <w:pPr>
              <w:jc w:val="both"/>
            </w:pPr>
            <w:r>
              <w:t>výpožičky</w:t>
            </w:r>
          </w:p>
        </w:tc>
      </w:tr>
      <w:tr w:rsidR="007D5CB9" w14:paraId="22B904F8" w14:textId="77777777" w:rsidTr="00A412D5">
        <w:tc>
          <w:tcPr>
            <w:tcW w:w="1271" w:type="dxa"/>
            <w:shd w:val="clear" w:color="auto" w:fill="C0E6F5"/>
          </w:tcPr>
          <w:p w14:paraId="324543D1" w14:textId="0CC612D2" w:rsidR="007D5CB9" w:rsidRDefault="00B55FD3" w:rsidP="00BD03AD">
            <w:pPr>
              <w:jc w:val="both"/>
            </w:pPr>
            <w:r>
              <w:t>2023</w:t>
            </w:r>
          </w:p>
        </w:tc>
        <w:tc>
          <w:tcPr>
            <w:tcW w:w="1276" w:type="dxa"/>
            <w:shd w:val="clear" w:color="auto" w:fill="E5F5FB"/>
          </w:tcPr>
          <w:p w14:paraId="2647811E" w14:textId="789283CE" w:rsidR="007D5CB9" w:rsidRDefault="00B55FD3" w:rsidP="00BD03AD">
            <w:pPr>
              <w:jc w:val="both"/>
            </w:pPr>
            <w:r>
              <w:t>všetky AK</w:t>
            </w:r>
          </w:p>
        </w:tc>
        <w:tc>
          <w:tcPr>
            <w:tcW w:w="1298" w:type="dxa"/>
            <w:shd w:val="clear" w:color="auto" w:fill="E5F5FB"/>
          </w:tcPr>
          <w:p w14:paraId="20312DB9" w14:textId="2CFD78C7" w:rsidR="007D5CB9" w:rsidRDefault="00815507" w:rsidP="00BD03AD">
            <w:pPr>
              <w:jc w:val="both"/>
            </w:pPr>
            <w:r>
              <w:t>972 039</w:t>
            </w:r>
          </w:p>
        </w:tc>
        <w:tc>
          <w:tcPr>
            <w:tcW w:w="1250" w:type="dxa"/>
            <w:shd w:val="clear" w:color="auto" w:fill="E5F5FB"/>
          </w:tcPr>
          <w:p w14:paraId="19B3D32C" w14:textId="2878D1BB" w:rsidR="007D5CB9" w:rsidRDefault="00815507" w:rsidP="00BD03AD">
            <w:pPr>
              <w:jc w:val="both"/>
            </w:pPr>
            <w:r>
              <w:t>873 468</w:t>
            </w:r>
          </w:p>
        </w:tc>
      </w:tr>
      <w:tr w:rsidR="007D5CB9" w14:paraId="150711B9" w14:textId="77777777" w:rsidTr="00A412D5">
        <w:tc>
          <w:tcPr>
            <w:tcW w:w="1271" w:type="dxa"/>
            <w:shd w:val="clear" w:color="auto" w:fill="C0E6F5"/>
          </w:tcPr>
          <w:p w14:paraId="7181A223" w14:textId="0BCA11B4" w:rsidR="007D5CB9" w:rsidRDefault="00B55FD3" w:rsidP="00BD03AD">
            <w:pPr>
              <w:jc w:val="both"/>
            </w:pPr>
            <w:r>
              <w:t>2024</w:t>
            </w:r>
          </w:p>
        </w:tc>
        <w:tc>
          <w:tcPr>
            <w:tcW w:w="1276" w:type="dxa"/>
            <w:shd w:val="clear" w:color="auto" w:fill="E5F5FB"/>
          </w:tcPr>
          <w:p w14:paraId="1535FBEC" w14:textId="1056A9B1" w:rsidR="007D5CB9" w:rsidRDefault="00B55FD3" w:rsidP="00BD03AD">
            <w:pPr>
              <w:jc w:val="both"/>
            </w:pPr>
            <w:r>
              <w:t>všetky AK</w:t>
            </w:r>
          </w:p>
        </w:tc>
        <w:tc>
          <w:tcPr>
            <w:tcW w:w="1298" w:type="dxa"/>
            <w:shd w:val="clear" w:color="auto" w:fill="E5F5FB"/>
          </w:tcPr>
          <w:p w14:paraId="530E5317" w14:textId="3A7AFB05" w:rsidR="007D5CB9" w:rsidRDefault="00815507" w:rsidP="00BD03AD">
            <w:pPr>
              <w:jc w:val="both"/>
            </w:pPr>
            <w:r>
              <w:t>754 624</w:t>
            </w:r>
          </w:p>
        </w:tc>
        <w:tc>
          <w:tcPr>
            <w:tcW w:w="1250" w:type="dxa"/>
            <w:shd w:val="clear" w:color="auto" w:fill="E5F5FB"/>
          </w:tcPr>
          <w:p w14:paraId="679688B2" w14:textId="39D4820A" w:rsidR="007D5CB9" w:rsidRDefault="00815507" w:rsidP="00BD03AD">
            <w:pPr>
              <w:jc w:val="both"/>
            </w:pPr>
            <w:r>
              <w:t>868 733</w:t>
            </w:r>
          </w:p>
        </w:tc>
      </w:tr>
      <w:tr w:rsidR="007D5CB9" w14:paraId="064100C5" w14:textId="77777777" w:rsidTr="00A412D5">
        <w:tc>
          <w:tcPr>
            <w:tcW w:w="1271" w:type="dxa"/>
            <w:shd w:val="clear" w:color="auto" w:fill="C0E6F5"/>
          </w:tcPr>
          <w:p w14:paraId="3EF1C92F" w14:textId="65208E52" w:rsidR="007D5CB9" w:rsidRDefault="00B55FD3" w:rsidP="00BD03AD">
            <w:pPr>
              <w:jc w:val="both"/>
            </w:pPr>
            <w:r>
              <w:t>2025</w:t>
            </w:r>
          </w:p>
        </w:tc>
        <w:tc>
          <w:tcPr>
            <w:tcW w:w="1276" w:type="dxa"/>
            <w:shd w:val="clear" w:color="auto" w:fill="E5F5FB"/>
          </w:tcPr>
          <w:p w14:paraId="5CBFD981" w14:textId="333C8C9C" w:rsidR="007D5CB9" w:rsidRDefault="00B55FD3" w:rsidP="00BD03AD">
            <w:pPr>
              <w:jc w:val="both"/>
            </w:pPr>
            <w:r>
              <w:t>všetky AK</w:t>
            </w:r>
          </w:p>
        </w:tc>
        <w:tc>
          <w:tcPr>
            <w:tcW w:w="1298" w:type="dxa"/>
            <w:shd w:val="clear" w:color="auto" w:fill="E5F5FB"/>
          </w:tcPr>
          <w:p w14:paraId="47080400" w14:textId="3CF536B9" w:rsidR="007D5CB9" w:rsidRDefault="00815507" w:rsidP="00BD03AD">
            <w:pPr>
              <w:jc w:val="both"/>
            </w:pPr>
            <w:r>
              <w:t>629 059</w:t>
            </w:r>
          </w:p>
        </w:tc>
        <w:tc>
          <w:tcPr>
            <w:tcW w:w="1250" w:type="dxa"/>
            <w:shd w:val="clear" w:color="auto" w:fill="E5F5FB"/>
          </w:tcPr>
          <w:p w14:paraId="198E618C" w14:textId="659AB675" w:rsidR="007D5CB9" w:rsidRDefault="00815507" w:rsidP="00BD03AD">
            <w:pPr>
              <w:jc w:val="both"/>
            </w:pPr>
            <w:r>
              <w:t>838 169</w:t>
            </w:r>
          </w:p>
        </w:tc>
      </w:tr>
    </w:tbl>
    <w:p w14:paraId="6F3F2E8E" w14:textId="77777777" w:rsidR="00541656" w:rsidRPr="00725C01" w:rsidRDefault="00541656" w:rsidP="00BD03AD">
      <w:pPr>
        <w:jc w:val="both"/>
      </w:pPr>
    </w:p>
    <w:p w14:paraId="1610042D" w14:textId="65C70382" w:rsidR="00B2012B" w:rsidRDefault="00712A1A" w:rsidP="00BD03AD">
      <w:pPr>
        <w:jc w:val="both"/>
      </w:pPr>
      <w:r>
        <w:t xml:space="preserve">Porovnanie údajov – výšky počtu prezenčných aj absenčných výpožičiek v priebehu sledovaných rokov ukazuje jasný trend poklesu týchto výpožičiek u knižníc verejných a štátnych vysokých škôl. Iná situácia je u knižníc súkromných VŠ, kde si prezenčné výpožičky držia podobné hodnoty a absenčné výpožičky stúpajú. </w:t>
      </w:r>
    </w:p>
    <w:p w14:paraId="182EC25C" w14:textId="64CB423E" w:rsidR="00712A1A" w:rsidRDefault="00712A1A" w:rsidP="00BD03AD">
      <w:pPr>
        <w:jc w:val="both"/>
      </w:pPr>
      <w:r>
        <w:t xml:space="preserve">Pokles u prvých dvoch typov vysokých škôl má vysvetlenie  vo vývoji hodnoty iného ukazovateľa – </w:t>
      </w:r>
      <w:r w:rsidRPr="00712A1A">
        <w:rPr>
          <w:b/>
          <w:bCs/>
        </w:rPr>
        <w:t>Počet stiahnutých/zobrazených elektronických dokumentov – riadok 0514</w:t>
      </w:r>
      <w:r w:rsidR="000315D3">
        <w:t xml:space="preserve"> (Oddiel V. Informačné technológie),</w:t>
      </w:r>
      <w:r>
        <w:t xml:space="preserve"> ktorý má výraznú stúpajúcu tendenciu:</w:t>
      </w:r>
    </w:p>
    <w:tbl>
      <w:tblPr>
        <w:tblStyle w:val="Mriekatabuky"/>
        <w:tblW w:w="0" w:type="auto"/>
        <w:tblLook w:val="04A0" w:firstRow="1" w:lastRow="0" w:firstColumn="1" w:lastColumn="0" w:noHBand="0" w:noVBand="1"/>
      </w:tblPr>
      <w:tblGrid>
        <w:gridCol w:w="1271"/>
        <w:gridCol w:w="1276"/>
        <w:gridCol w:w="2786"/>
      </w:tblGrid>
      <w:tr w:rsidR="00712A1A" w14:paraId="366748E6" w14:textId="77777777" w:rsidTr="00154CCE">
        <w:tc>
          <w:tcPr>
            <w:tcW w:w="1271" w:type="dxa"/>
            <w:shd w:val="clear" w:color="auto" w:fill="C0E6F5"/>
          </w:tcPr>
          <w:p w14:paraId="4B7F652F" w14:textId="77777777" w:rsidR="00712A1A" w:rsidRDefault="00712A1A" w:rsidP="00BD03AD">
            <w:pPr>
              <w:jc w:val="both"/>
            </w:pPr>
            <w:r>
              <w:t>Rok</w:t>
            </w:r>
          </w:p>
          <w:p w14:paraId="144F09E4" w14:textId="77777777" w:rsidR="00712A1A" w:rsidRDefault="00712A1A" w:rsidP="00BD03AD">
            <w:pPr>
              <w:jc w:val="both"/>
            </w:pPr>
          </w:p>
          <w:p w14:paraId="19362415" w14:textId="3A3B79C7" w:rsidR="00712A1A" w:rsidRDefault="00712A1A" w:rsidP="00BD03AD">
            <w:pPr>
              <w:jc w:val="both"/>
            </w:pPr>
          </w:p>
        </w:tc>
        <w:tc>
          <w:tcPr>
            <w:tcW w:w="1276" w:type="dxa"/>
            <w:shd w:val="clear" w:color="auto" w:fill="C0E6F5"/>
          </w:tcPr>
          <w:p w14:paraId="4D130694" w14:textId="088A98F5" w:rsidR="00712A1A" w:rsidRDefault="00712A1A" w:rsidP="00BD03AD">
            <w:pPr>
              <w:jc w:val="both"/>
            </w:pPr>
            <w:r>
              <w:t>Typ VŠ</w:t>
            </w:r>
          </w:p>
        </w:tc>
        <w:tc>
          <w:tcPr>
            <w:tcW w:w="2786" w:type="dxa"/>
            <w:shd w:val="clear" w:color="auto" w:fill="C0E6F5"/>
          </w:tcPr>
          <w:p w14:paraId="4E53E388" w14:textId="77777777" w:rsidR="00712A1A" w:rsidRDefault="00712A1A" w:rsidP="00BD03AD">
            <w:pPr>
              <w:jc w:val="both"/>
            </w:pPr>
            <w:r>
              <w:t>R. 0514</w:t>
            </w:r>
          </w:p>
          <w:p w14:paraId="2EE64F29" w14:textId="0561F7AA" w:rsidR="004C5BBE" w:rsidRDefault="004C5BBE" w:rsidP="00BD03AD">
            <w:pPr>
              <w:jc w:val="both"/>
            </w:pPr>
            <w:r>
              <w:t>Počet stiahnutých</w:t>
            </w:r>
          </w:p>
          <w:p w14:paraId="6DF04A82" w14:textId="6C8443B3" w:rsidR="004C5BBE" w:rsidRDefault="004C5BBE" w:rsidP="00BD03AD">
            <w:pPr>
              <w:jc w:val="both"/>
            </w:pPr>
            <w:r>
              <w:t>dokumentov</w:t>
            </w:r>
          </w:p>
        </w:tc>
      </w:tr>
      <w:tr w:rsidR="004C5BBE" w14:paraId="57ADDE67" w14:textId="77777777" w:rsidTr="008A7B25">
        <w:tc>
          <w:tcPr>
            <w:tcW w:w="1271" w:type="dxa"/>
            <w:shd w:val="clear" w:color="auto" w:fill="C0E6F5"/>
          </w:tcPr>
          <w:p w14:paraId="7B93847A" w14:textId="294DCF49" w:rsidR="004C5BBE" w:rsidRDefault="004C5BBE" w:rsidP="00BD03AD">
            <w:pPr>
              <w:jc w:val="both"/>
            </w:pPr>
            <w:r>
              <w:t>2023</w:t>
            </w:r>
          </w:p>
        </w:tc>
        <w:tc>
          <w:tcPr>
            <w:tcW w:w="1276" w:type="dxa"/>
            <w:shd w:val="clear" w:color="auto" w:fill="E5F5FB"/>
          </w:tcPr>
          <w:p w14:paraId="654E291D" w14:textId="4FE6576C" w:rsidR="004C5BBE" w:rsidRDefault="004C5BBE" w:rsidP="00BD03AD">
            <w:pPr>
              <w:jc w:val="both"/>
            </w:pPr>
            <w:r>
              <w:t>všetky AK</w:t>
            </w:r>
          </w:p>
        </w:tc>
        <w:tc>
          <w:tcPr>
            <w:tcW w:w="2786" w:type="dxa"/>
            <w:shd w:val="clear" w:color="auto" w:fill="E5F5FB"/>
          </w:tcPr>
          <w:p w14:paraId="028C33DA" w14:textId="7CBE037E" w:rsidR="004C5BBE" w:rsidRDefault="004C5BBE" w:rsidP="00BD03AD">
            <w:pPr>
              <w:jc w:val="both"/>
            </w:pPr>
            <w:r>
              <w:t>3 860 677</w:t>
            </w:r>
          </w:p>
        </w:tc>
      </w:tr>
      <w:tr w:rsidR="004C5BBE" w14:paraId="7F5E6FA7" w14:textId="77777777" w:rsidTr="008A7B25">
        <w:tc>
          <w:tcPr>
            <w:tcW w:w="1271" w:type="dxa"/>
            <w:shd w:val="clear" w:color="auto" w:fill="C0E6F5"/>
          </w:tcPr>
          <w:p w14:paraId="13B465EA" w14:textId="15F9DE4B" w:rsidR="004C5BBE" w:rsidRDefault="004C5BBE" w:rsidP="00BD03AD">
            <w:pPr>
              <w:jc w:val="both"/>
            </w:pPr>
            <w:r>
              <w:t>2024</w:t>
            </w:r>
          </w:p>
        </w:tc>
        <w:tc>
          <w:tcPr>
            <w:tcW w:w="1276" w:type="dxa"/>
            <w:shd w:val="clear" w:color="auto" w:fill="E5F5FB"/>
          </w:tcPr>
          <w:p w14:paraId="0AB6794F" w14:textId="4132882D" w:rsidR="004C5BBE" w:rsidRDefault="004C5BBE" w:rsidP="00BD03AD">
            <w:pPr>
              <w:jc w:val="both"/>
            </w:pPr>
            <w:r>
              <w:t>všetky AK</w:t>
            </w:r>
          </w:p>
        </w:tc>
        <w:tc>
          <w:tcPr>
            <w:tcW w:w="2786" w:type="dxa"/>
            <w:shd w:val="clear" w:color="auto" w:fill="E5F5FB"/>
          </w:tcPr>
          <w:p w14:paraId="15588120" w14:textId="6AC88A96" w:rsidR="004C5BBE" w:rsidRDefault="004C5BBE" w:rsidP="00BD03AD">
            <w:pPr>
              <w:jc w:val="both"/>
            </w:pPr>
            <w:r>
              <w:t>4 309 107</w:t>
            </w:r>
          </w:p>
        </w:tc>
      </w:tr>
      <w:tr w:rsidR="004C5BBE" w14:paraId="717B515F" w14:textId="77777777" w:rsidTr="008A7B25">
        <w:tc>
          <w:tcPr>
            <w:tcW w:w="1271" w:type="dxa"/>
            <w:shd w:val="clear" w:color="auto" w:fill="C0E6F5"/>
          </w:tcPr>
          <w:p w14:paraId="43EDF31F" w14:textId="5E150CBC" w:rsidR="004C5BBE" w:rsidRDefault="004C5BBE" w:rsidP="00BD03AD">
            <w:pPr>
              <w:jc w:val="both"/>
            </w:pPr>
            <w:r>
              <w:t>2025</w:t>
            </w:r>
          </w:p>
        </w:tc>
        <w:tc>
          <w:tcPr>
            <w:tcW w:w="1276" w:type="dxa"/>
            <w:shd w:val="clear" w:color="auto" w:fill="E5F5FB"/>
          </w:tcPr>
          <w:p w14:paraId="1A94D7DD" w14:textId="4A9F0968" w:rsidR="004C5BBE" w:rsidRDefault="004C5BBE" w:rsidP="00BD03AD">
            <w:pPr>
              <w:jc w:val="both"/>
            </w:pPr>
            <w:r>
              <w:t>všetky AK</w:t>
            </w:r>
          </w:p>
        </w:tc>
        <w:tc>
          <w:tcPr>
            <w:tcW w:w="2786" w:type="dxa"/>
            <w:shd w:val="clear" w:color="auto" w:fill="E5F5FB"/>
          </w:tcPr>
          <w:p w14:paraId="5B29E677" w14:textId="6EE3DF20" w:rsidR="004C5BBE" w:rsidRDefault="004C5BBE" w:rsidP="00BD03AD">
            <w:pPr>
              <w:jc w:val="both"/>
            </w:pPr>
            <w:r>
              <w:t>5 988 278</w:t>
            </w:r>
          </w:p>
        </w:tc>
      </w:tr>
    </w:tbl>
    <w:p w14:paraId="59799097" w14:textId="77777777" w:rsidR="00712A1A" w:rsidRDefault="00712A1A" w:rsidP="00BD03AD">
      <w:pPr>
        <w:jc w:val="both"/>
      </w:pPr>
    </w:p>
    <w:p w14:paraId="14465D15" w14:textId="77777777" w:rsidR="00BD03AD" w:rsidRDefault="00BD03AD" w:rsidP="00BD03AD">
      <w:pPr>
        <w:jc w:val="both"/>
      </w:pPr>
    </w:p>
    <w:p w14:paraId="5950CCD7" w14:textId="77777777" w:rsidR="00BD03AD" w:rsidRDefault="00BD03AD" w:rsidP="00BD03AD">
      <w:pPr>
        <w:jc w:val="both"/>
      </w:pPr>
    </w:p>
    <w:p w14:paraId="75FAEEED" w14:textId="11890F87" w:rsidR="00712A1A" w:rsidRDefault="00E169B7" w:rsidP="00BD03AD">
      <w:pPr>
        <w:jc w:val="both"/>
      </w:pPr>
      <w:r>
        <w:lastRenderedPageBreak/>
        <w:t xml:space="preserve">Z oddielu </w:t>
      </w:r>
      <w:r w:rsidR="00B24FF0">
        <w:t xml:space="preserve">IV. </w:t>
      </w:r>
      <w:r w:rsidR="00A72E7C" w:rsidRPr="00A72E7C">
        <w:rPr>
          <w:i/>
          <w:iCs/>
        </w:rPr>
        <w:t>Doplňujúce ukazovatele</w:t>
      </w:r>
      <w:r w:rsidR="00A72E7C">
        <w:rPr>
          <w:i/>
          <w:iCs/>
        </w:rPr>
        <w:t xml:space="preserve"> </w:t>
      </w:r>
      <w:r w:rsidR="00A72E7C">
        <w:t xml:space="preserve">sme vybrali údaj </w:t>
      </w:r>
      <w:r w:rsidR="00A72E7C" w:rsidRPr="00A72E7C">
        <w:rPr>
          <w:b/>
          <w:bCs/>
        </w:rPr>
        <w:t>Akcie informačnej výchovy – riadok 0402</w:t>
      </w:r>
      <w:r w:rsidR="00A72E7C">
        <w:rPr>
          <w:b/>
          <w:bCs/>
        </w:rPr>
        <w:t xml:space="preserve">. </w:t>
      </w:r>
      <w:r w:rsidR="00A72E7C" w:rsidRPr="00A72E7C">
        <w:t>Zist</w:t>
      </w:r>
      <w:r w:rsidR="00A72E7C">
        <w:t>ené skutočnosti vyjadruje nasledujúci graf:</w:t>
      </w:r>
    </w:p>
    <w:p w14:paraId="62F9FDF4" w14:textId="77777777" w:rsidR="00866336" w:rsidRDefault="00866336" w:rsidP="00BD03AD">
      <w:pPr>
        <w:jc w:val="both"/>
      </w:pPr>
    </w:p>
    <w:p w14:paraId="7AC83B8B" w14:textId="3B55DFB5" w:rsidR="00866336" w:rsidRDefault="00866336" w:rsidP="00BD03AD">
      <w:pPr>
        <w:jc w:val="both"/>
      </w:pPr>
      <w:r>
        <w:rPr>
          <w:noProof/>
        </w:rPr>
        <w:drawing>
          <wp:inline distT="0" distB="0" distL="0" distR="0" wp14:anchorId="687408E1" wp14:editId="4B879797">
            <wp:extent cx="5553075" cy="3314700"/>
            <wp:effectExtent l="0" t="0" r="9525" b="0"/>
            <wp:docPr id="1555869838" name="Graf 4" descr="Akcie informačnej výchovy"/>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AB8AC0" w14:textId="77777777" w:rsidR="00EA75F0" w:rsidRDefault="00EA75F0" w:rsidP="00BD03AD">
      <w:pPr>
        <w:jc w:val="both"/>
      </w:pPr>
    </w:p>
    <w:p w14:paraId="3F081A7F" w14:textId="37CB849F" w:rsidR="00A72E7C" w:rsidRDefault="00866336" w:rsidP="00BD03AD">
      <w:pPr>
        <w:jc w:val="both"/>
      </w:pPr>
      <w:r>
        <w:t>P</w:t>
      </w:r>
      <w:r w:rsidR="00C74E4B" w:rsidRPr="00C74E4B">
        <w:t>okiaľ ide o akcie informačnej výchovy, situáciu môžeme označiť za stabilnú</w:t>
      </w:r>
      <w:r w:rsidR="00C74E4B">
        <w:t xml:space="preserve">. Informačné vzdelávanie neprebieha len akciami „naživo“, akademické knižnice na svojich stránkach na internete ponúkajú aj voľne dostupné prezentácie vo forme videí alebo návodov na používanie online katalógu. Tiež návody na používanie elektronických informačných zdrojov a ako sa orientovať v knižnici. </w:t>
      </w:r>
    </w:p>
    <w:p w14:paraId="292D6B8A" w14:textId="77777777" w:rsidR="00BD03AD" w:rsidRDefault="00BD03AD" w:rsidP="00BD03AD">
      <w:pPr>
        <w:jc w:val="both"/>
      </w:pPr>
    </w:p>
    <w:p w14:paraId="215D1847" w14:textId="77777777" w:rsidR="00BD03AD" w:rsidRDefault="00BD03AD" w:rsidP="00BD03AD">
      <w:pPr>
        <w:jc w:val="both"/>
      </w:pPr>
    </w:p>
    <w:p w14:paraId="42A409B0" w14:textId="77777777" w:rsidR="00BD03AD" w:rsidRDefault="00BD03AD" w:rsidP="00BD03AD">
      <w:pPr>
        <w:jc w:val="both"/>
      </w:pPr>
    </w:p>
    <w:p w14:paraId="71B4AE6A" w14:textId="77777777" w:rsidR="00BD03AD" w:rsidRDefault="00BD03AD" w:rsidP="00BD03AD">
      <w:pPr>
        <w:jc w:val="both"/>
      </w:pPr>
    </w:p>
    <w:p w14:paraId="3C22E8D4" w14:textId="77777777" w:rsidR="00BD03AD" w:rsidRDefault="00BD03AD" w:rsidP="00BD03AD">
      <w:pPr>
        <w:jc w:val="both"/>
      </w:pPr>
    </w:p>
    <w:p w14:paraId="2B53F617" w14:textId="77777777" w:rsidR="00BD03AD" w:rsidRDefault="00BD03AD" w:rsidP="00BD03AD">
      <w:pPr>
        <w:jc w:val="both"/>
      </w:pPr>
    </w:p>
    <w:p w14:paraId="648A8C16" w14:textId="77777777" w:rsidR="00BD03AD" w:rsidRDefault="00BD03AD" w:rsidP="00BD03AD">
      <w:pPr>
        <w:jc w:val="both"/>
      </w:pPr>
    </w:p>
    <w:p w14:paraId="083E056B" w14:textId="77777777" w:rsidR="00BD03AD" w:rsidRDefault="00BD03AD" w:rsidP="00BD03AD">
      <w:pPr>
        <w:jc w:val="both"/>
      </w:pPr>
    </w:p>
    <w:p w14:paraId="375F2F49" w14:textId="77777777" w:rsidR="00BD03AD" w:rsidRDefault="00BD03AD" w:rsidP="00BD03AD">
      <w:pPr>
        <w:jc w:val="both"/>
      </w:pPr>
    </w:p>
    <w:p w14:paraId="2FF942FD" w14:textId="5FEEFC0C" w:rsidR="000315D3" w:rsidRDefault="000315D3" w:rsidP="00BD03AD">
      <w:pPr>
        <w:jc w:val="both"/>
        <w:rPr>
          <w:b/>
          <w:bCs/>
        </w:rPr>
      </w:pPr>
      <w:r>
        <w:lastRenderedPageBreak/>
        <w:t xml:space="preserve">V oddiele V. </w:t>
      </w:r>
      <w:r w:rsidRPr="000315D3">
        <w:rPr>
          <w:i/>
          <w:iCs/>
        </w:rPr>
        <w:t>Informačné technológie</w:t>
      </w:r>
      <w:r>
        <w:t xml:space="preserve"> sme porovnali hodnot</w:t>
      </w:r>
      <w:r w:rsidR="00E65BAC">
        <w:t xml:space="preserve">y </w:t>
      </w:r>
      <w:r>
        <w:t xml:space="preserve">u ukazovateľa </w:t>
      </w:r>
      <w:r w:rsidRPr="000315D3">
        <w:rPr>
          <w:b/>
          <w:bCs/>
        </w:rPr>
        <w:t>Počet vstupov do online katalógu – riadok 0509</w:t>
      </w:r>
      <w:r w:rsidR="00E65BAC">
        <w:rPr>
          <w:b/>
          <w:bCs/>
        </w:rPr>
        <w:t xml:space="preserve"> a tiež  Počet vyhľadávaní v licencovaných </w:t>
      </w:r>
      <w:r w:rsidR="00097757">
        <w:rPr>
          <w:b/>
          <w:bCs/>
        </w:rPr>
        <w:t>elektronických informačných zdrojoch (</w:t>
      </w:r>
      <w:r w:rsidR="00E65BAC">
        <w:rPr>
          <w:b/>
          <w:bCs/>
        </w:rPr>
        <w:t>EIZ</w:t>
      </w:r>
      <w:r w:rsidR="00097757">
        <w:rPr>
          <w:b/>
          <w:bCs/>
        </w:rPr>
        <w:t>)</w:t>
      </w:r>
      <w:r w:rsidR="00E65BAC">
        <w:rPr>
          <w:b/>
          <w:bCs/>
        </w:rPr>
        <w:t xml:space="preserve"> – riadok 0513</w:t>
      </w:r>
      <w:r w:rsidR="00990750">
        <w:rPr>
          <w:b/>
          <w:bCs/>
        </w:rPr>
        <w:t xml:space="preserve">, </w:t>
      </w:r>
      <w:r w:rsidR="00990750" w:rsidRPr="006A2C7B">
        <w:t>pridali sme aj hodnoty</w:t>
      </w:r>
      <w:r w:rsidR="00990750">
        <w:rPr>
          <w:b/>
          <w:bCs/>
        </w:rPr>
        <w:t xml:space="preserve"> z riadku 0514 – Počet stiahnutých dokumentov.</w:t>
      </w:r>
    </w:p>
    <w:tbl>
      <w:tblPr>
        <w:tblW w:w="8860" w:type="dxa"/>
        <w:tblCellMar>
          <w:left w:w="70" w:type="dxa"/>
          <w:right w:w="70" w:type="dxa"/>
        </w:tblCellMar>
        <w:tblLook w:val="04A0" w:firstRow="1" w:lastRow="0" w:firstColumn="1" w:lastColumn="0" w:noHBand="0" w:noVBand="1"/>
      </w:tblPr>
      <w:tblGrid>
        <w:gridCol w:w="1184"/>
        <w:gridCol w:w="660"/>
        <w:gridCol w:w="1158"/>
        <w:gridCol w:w="1946"/>
        <w:gridCol w:w="1959"/>
        <w:gridCol w:w="1953"/>
      </w:tblGrid>
      <w:tr w:rsidR="005B0B27" w:rsidRPr="005B0B27" w14:paraId="1081A1EC" w14:textId="77777777" w:rsidTr="00B70349">
        <w:trPr>
          <w:trHeight w:val="1644"/>
        </w:trPr>
        <w:tc>
          <w:tcPr>
            <w:tcW w:w="1184" w:type="dxa"/>
            <w:tcBorders>
              <w:top w:val="single" w:sz="8" w:space="0" w:color="auto"/>
              <w:left w:val="single" w:sz="8" w:space="0" w:color="auto"/>
              <w:bottom w:val="single" w:sz="8" w:space="0" w:color="auto"/>
              <w:right w:val="single" w:sz="4" w:space="0" w:color="auto"/>
            </w:tcBorders>
            <w:shd w:val="clear" w:color="000000" w:fill="C0E6F5"/>
            <w:vAlign w:val="center"/>
            <w:hideMark/>
          </w:tcPr>
          <w:p w14:paraId="3FC09C4F" w14:textId="77777777" w:rsidR="005B0B27" w:rsidRPr="005B0B27" w:rsidRDefault="005B0B27" w:rsidP="00BD03AD">
            <w:pPr>
              <w:spacing w:after="0" w:line="240" w:lineRule="auto"/>
              <w:jc w:val="both"/>
              <w:rPr>
                <w:rFonts w:ascii="Aptos" w:eastAsia="Times New Roman" w:hAnsi="Aptos" w:cs="Times New Roman"/>
                <w:b/>
                <w:bCs/>
                <w:color w:val="000000"/>
                <w:kern w:val="0"/>
                <w:lang w:eastAsia="sk-SK"/>
                <w14:ligatures w14:val="none"/>
              </w:rPr>
            </w:pPr>
            <w:r w:rsidRPr="005B0B27">
              <w:rPr>
                <w:rFonts w:ascii="Aptos" w:eastAsia="Times New Roman" w:hAnsi="Aptos" w:cs="Times New Roman"/>
                <w:b/>
                <w:bCs/>
                <w:color w:val="000000"/>
                <w:kern w:val="0"/>
                <w:lang w:eastAsia="sk-SK"/>
                <w14:ligatures w14:val="none"/>
              </w:rPr>
              <w:t>Typ VŠ</w:t>
            </w:r>
          </w:p>
        </w:tc>
        <w:tc>
          <w:tcPr>
            <w:tcW w:w="660" w:type="dxa"/>
            <w:tcBorders>
              <w:top w:val="single" w:sz="8" w:space="0" w:color="auto"/>
              <w:left w:val="nil"/>
              <w:bottom w:val="single" w:sz="8" w:space="0" w:color="auto"/>
              <w:right w:val="single" w:sz="4" w:space="0" w:color="auto"/>
            </w:tcBorders>
            <w:shd w:val="clear" w:color="000000" w:fill="C0E6F5"/>
            <w:vAlign w:val="center"/>
            <w:hideMark/>
          </w:tcPr>
          <w:p w14:paraId="5B395066" w14:textId="77777777" w:rsidR="005B0B27" w:rsidRPr="005B0B27" w:rsidRDefault="005B0B27" w:rsidP="00BD03AD">
            <w:pPr>
              <w:spacing w:after="0" w:line="240" w:lineRule="auto"/>
              <w:jc w:val="both"/>
              <w:rPr>
                <w:rFonts w:ascii="Aptos" w:eastAsia="Times New Roman" w:hAnsi="Aptos" w:cs="Times New Roman"/>
                <w:b/>
                <w:bCs/>
                <w:color w:val="000000"/>
                <w:kern w:val="0"/>
                <w:lang w:eastAsia="sk-SK"/>
                <w14:ligatures w14:val="none"/>
              </w:rPr>
            </w:pPr>
            <w:r w:rsidRPr="005B0B27">
              <w:rPr>
                <w:rFonts w:ascii="Aptos" w:eastAsia="Times New Roman" w:hAnsi="Aptos" w:cs="Times New Roman"/>
                <w:b/>
                <w:bCs/>
                <w:color w:val="000000"/>
                <w:kern w:val="0"/>
                <w:lang w:eastAsia="sk-SK"/>
                <w14:ligatures w14:val="none"/>
              </w:rPr>
              <w:t>Rok</w:t>
            </w:r>
          </w:p>
        </w:tc>
        <w:tc>
          <w:tcPr>
            <w:tcW w:w="1158" w:type="dxa"/>
            <w:tcBorders>
              <w:top w:val="single" w:sz="8" w:space="0" w:color="auto"/>
              <w:left w:val="nil"/>
              <w:bottom w:val="single" w:sz="8" w:space="0" w:color="auto"/>
              <w:right w:val="single" w:sz="4" w:space="0" w:color="auto"/>
            </w:tcBorders>
            <w:shd w:val="clear" w:color="000000" w:fill="C0E6F5"/>
            <w:vAlign w:val="center"/>
            <w:hideMark/>
          </w:tcPr>
          <w:p w14:paraId="40CE40C1" w14:textId="77777777" w:rsidR="005B0B27" w:rsidRPr="005B0B27" w:rsidRDefault="005B0B27" w:rsidP="00BD03AD">
            <w:pPr>
              <w:spacing w:after="0" w:line="240" w:lineRule="auto"/>
              <w:jc w:val="both"/>
              <w:rPr>
                <w:rFonts w:ascii="Aptos" w:eastAsia="Times New Roman" w:hAnsi="Aptos" w:cs="Times New Roman"/>
                <w:b/>
                <w:bCs/>
                <w:color w:val="000000"/>
                <w:kern w:val="0"/>
                <w:lang w:eastAsia="sk-SK"/>
                <w14:ligatures w14:val="none"/>
              </w:rPr>
            </w:pPr>
            <w:r w:rsidRPr="005B0B27">
              <w:rPr>
                <w:rFonts w:ascii="Aptos" w:eastAsia="Times New Roman" w:hAnsi="Aptos" w:cs="Times New Roman"/>
                <w:b/>
                <w:bCs/>
                <w:color w:val="000000"/>
                <w:kern w:val="0"/>
                <w:lang w:eastAsia="sk-SK"/>
                <w14:ligatures w14:val="none"/>
              </w:rPr>
              <w:t>Počet výkazov</w:t>
            </w:r>
          </w:p>
        </w:tc>
        <w:tc>
          <w:tcPr>
            <w:tcW w:w="1946" w:type="dxa"/>
            <w:tcBorders>
              <w:top w:val="single" w:sz="8" w:space="0" w:color="auto"/>
              <w:left w:val="nil"/>
              <w:bottom w:val="single" w:sz="8" w:space="0" w:color="auto"/>
              <w:right w:val="single" w:sz="4" w:space="0" w:color="auto"/>
            </w:tcBorders>
            <w:shd w:val="clear" w:color="000000" w:fill="C0E6F5"/>
            <w:vAlign w:val="center"/>
            <w:hideMark/>
          </w:tcPr>
          <w:p w14:paraId="439714F0" w14:textId="77777777" w:rsidR="005B0B27" w:rsidRPr="005B0B27" w:rsidRDefault="005B0B27" w:rsidP="00BD03AD">
            <w:pPr>
              <w:spacing w:after="0" w:line="240" w:lineRule="auto"/>
              <w:jc w:val="both"/>
              <w:rPr>
                <w:rFonts w:ascii="Aptos" w:eastAsia="Times New Roman" w:hAnsi="Aptos" w:cs="Times New Roman"/>
                <w:b/>
                <w:bCs/>
                <w:color w:val="000000"/>
                <w:kern w:val="0"/>
                <w:lang w:eastAsia="sk-SK"/>
                <w14:ligatures w14:val="none"/>
              </w:rPr>
            </w:pPr>
            <w:r w:rsidRPr="005B0B27">
              <w:rPr>
                <w:rFonts w:ascii="Aptos" w:eastAsia="Times New Roman" w:hAnsi="Aptos" w:cs="Times New Roman"/>
                <w:b/>
                <w:bCs/>
                <w:color w:val="000000"/>
                <w:kern w:val="0"/>
                <w:lang w:eastAsia="sk-SK"/>
                <w14:ligatures w14:val="none"/>
              </w:rPr>
              <w:t>R. 0509                   Počet vstupov do online katalógu</w:t>
            </w:r>
          </w:p>
        </w:tc>
        <w:tc>
          <w:tcPr>
            <w:tcW w:w="1959" w:type="dxa"/>
            <w:tcBorders>
              <w:top w:val="single" w:sz="8" w:space="0" w:color="auto"/>
              <w:left w:val="nil"/>
              <w:bottom w:val="single" w:sz="8" w:space="0" w:color="auto"/>
              <w:right w:val="single" w:sz="4" w:space="0" w:color="auto"/>
            </w:tcBorders>
            <w:shd w:val="clear" w:color="000000" w:fill="C0E6F5"/>
            <w:vAlign w:val="center"/>
            <w:hideMark/>
          </w:tcPr>
          <w:p w14:paraId="160B1973" w14:textId="77777777" w:rsidR="005B0B27" w:rsidRPr="005B0B27" w:rsidRDefault="005B0B27" w:rsidP="00BD03AD">
            <w:pPr>
              <w:spacing w:after="0" w:line="240" w:lineRule="auto"/>
              <w:jc w:val="both"/>
              <w:rPr>
                <w:rFonts w:ascii="Aptos" w:eastAsia="Times New Roman" w:hAnsi="Aptos" w:cs="Times New Roman"/>
                <w:b/>
                <w:bCs/>
                <w:color w:val="000000"/>
                <w:kern w:val="0"/>
                <w:lang w:eastAsia="sk-SK"/>
                <w14:ligatures w14:val="none"/>
              </w:rPr>
            </w:pPr>
            <w:r w:rsidRPr="005B0B27">
              <w:rPr>
                <w:rFonts w:ascii="Aptos" w:eastAsia="Times New Roman" w:hAnsi="Aptos" w:cs="Times New Roman"/>
                <w:b/>
                <w:bCs/>
                <w:color w:val="000000"/>
                <w:kern w:val="0"/>
                <w:lang w:eastAsia="sk-SK"/>
                <w14:ligatures w14:val="none"/>
              </w:rPr>
              <w:t>R. 0513                   Počet vyhľadávaní v licencovaných EIZ</w:t>
            </w:r>
          </w:p>
        </w:tc>
        <w:tc>
          <w:tcPr>
            <w:tcW w:w="1953" w:type="dxa"/>
            <w:tcBorders>
              <w:top w:val="single" w:sz="8" w:space="0" w:color="auto"/>
              <w:left w:val="nil"/>
              <w:bottom w:val="single" w:sz="8" w:space="0" w:color="auto"/>
              <w:right w:val="single" w:sz="8" w:space="0" w:color="auto"/>
            </w:tcBorders>
            <w:shd w:val="clear" w:color="000000" w:fill="C0E6F5"/>
            <w:vAlign w:val="center"/>
            <w:hideMark/>
          </w:tcPr>
          <w:p w14:paraId="42DC1796" w14:textId="77777777" w:rsidR="005B0B27" w:rsidRPr="005B0B27" w:rsidRDefault="005B0B27" w:rsidP="00BD03AD">
            <w:pPr>
              <w:spacing w:after="0" w:line="240" w:lineRule="auto"/>
              <w:jc w:val="both"/>
              <w:rPr>
                <w:rFonts w:ascii="Aptos" w:eastAsia="Times New Roman" w:hAnsi="Aptos" w:cs="Times New Roman"/>
                <w:b/>
                <w:bCs/>
                <w:color w:val="000000"/>
                <w:kern w:val="0"/>
                <w:lang w:eastAsia="sk-SK"/>
                <w14:ligatures w14:val="none"/>
              </w:rPr>
            </w:pPr>
            <w:r w:rsidRPr="005B0B27">
              <w:rPr>
                <w:rFonts w:ascii="Aptos" w:eastAsia="Times New Roman" w:hAnsi="Aptos" w:cs="Times New Roman"/>
                <w:b/>
                <w:bCs/>
                <w:color w:val="000000"/>
                <w:kern w:val="0"/>
                <w:lang w:eastAsia="sk-SK"/>
                <w14:ligatures w14:val="none"/>
              </w:rPr>
              <w:t>R 0514                    Počet stiahnutých dokumentov</w:t>
            </w:r>
          </w:p>
        </w:tc>
      </w:tr>
      <w:tr w:rsidR="005B0B27" w:rsidRPr="005B0B27" w14:paraId="0538E126" w14:textId="77777777" w:rsidTr="00B70349">
        <w:trPr>
          <w:trHeight w:val="340"/>
        </w:trPr>
        <w:tc>
          <w:tcPr>
            <w:tcW w:w="1184" w:type="dxa"/>
            <w:vMerge w:val="restart"/>
            <w:tcBorders>
              <w:top w:val="nil"/>
              <w:left w:val="single" w:sz="8" w:space="0" w:color="auto"/>
              <w:bottom w:val="single" w:sz="4" w:space="0" w:color="auto"/>
              <w:right w:val="single" w:sz="4" w:space="0" w:color="auto"/>
            </w:tcBorders>
            <w:shd w:val="clear" w:color="000000" w:fill="C0E6F5"/>
            <w:vAlign w:val="center"/>
            <w:hideMark/>
          </w:tcPr>
          <w:p w14:paraId="582D98B3"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verejné</w:t>
            </w:r>
          </w:p>
        </w:tc>
        <w:tc>
          <w:tcPr>
            <w:tcW w:w="660" w:type="dxa"/>
            <w:tcBorders>
              <w:top w:val="nil"/>
              <w:left w:val="nil"/>
              <w:bottom w:val="single" w:sz="4" w:space="0" w:color="auto"/>
              <w:right w:val="single" w:sz="4" w:space="0" w:color="auto"/>
            </w:tcBorders>
            <w:shd w:val="clear" w:color="000000" w:fill="FFCC99"/>
            <w:vAlign w:val="bottom"/>
            <w:hideMark/>
          </w:tcPr>
          <w:p w14:paraId="6847ED2E"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2023</w:t>
            </w:r>
          </w:p>
        </w:tc>
        <w:tc>
          <w:tcPr>
            <w:tcW w:w="1158" w:type="dxa"/>
            <w:tcBorders>
              <w:top w:val="nil"/>
              <w:left w:val="nil"/>
              <w:bottom w:val="single" w:sz="4" w:space="0" w:color="auto"/>
              <w:right w:val="single" w:sz="4" w:space="0" w:color="auto"/>
            </w:tcBorders>
            <w:shd w:val="clear" w:color="000000" w:fill="FFCC99"/>
            <w:vAlign w:val="bottom"/>
            <w:hideMark/>
          </w:tcPr>
          <w:p w14:paraId="2A62FBF7"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26</w:t>
            </w:r>
          </w:p>
        </w:tc>
        <w:tc>
          <w:tcPr>
            <w:tcW w:w="1946" w:type="dxa"/>
            <w:tcBorders>
              <w:top w:val="nil"/>
              <w:left w:val="nil"/>
              <w:bottom w:val="single" w:sz="4" w:space="0" w:color="auto"/>
              <w:right w:val="single" w:sz="4" w:space="0" w:color="auto"/>
            </w:tcBorders>
            <w:shd w:val="clear" w:color="000000" w:fill="FFCC99"/>
            <w:vAlign w:val="bottom"/>
            <w:hideMark/>
          </w:tcPr>
          <w:p w14:paraId="32690F0B"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3 050 805</w:t>
            </w:r>
          </w:p>
        </w:tc>
        <w:tc>
          <w:tcPr>
            <w:tcW w:w="1959" w:type="dxa"/>
            <w:tcBorders>
              <w:top w:val="nil"/>
              <w:left w:val="nil"/>
              <w:bottom w:val="single" w:sz="4" w:space="0" w:color="auto"/>
              <w:right w:val="single" w:sz="4" w:space="0" w:color="auto"/>
            </w:tcBorders>
            <w:shd w:val="clear" w:color="000000" w:fill="FFCC99"/>
            <w:vAlign w:val="bottom"/>
            <w:hideMark/>
          </w:tcPr>
          <w:p w14:paraId="0372EA72"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3 094 999</w:t>
            </w:r>
          </w:p>
        </w:tc>
        <w:tc>
          <w:tcPr>
            <w:tcW w:w="1953" w:type="dxa"/>
            <w:tcBorders>
              <w:top w:val="nil"/>
              <w:left w:val="nil"/>
              <w:bottom w:val="single" w:sz="4" w:space="0" w:color="auto"/>
              <w:right w:val="single" w:sz="8" w:space="0" w:color="auto"/>
            </w:tcBorders>
            <w:shd w:val="clear" w:color="000000" w:fill="FFCC99"/>
            <w:vAlign w:val="bottom"/>
            <w:hideMark/>
          </w:tcPr>
          <w:p w14:paraId="6A98DBE5"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3 860 230</w:t>
            </w:r>
          </w:p>
        </w:tc>
      </w:tr>
      <w:tr w:rsidR="005B0B27" w:rsidRPr="005B0B27" w14:paraId="2997594B" w14:textId="77777777" w:rsidTr="00B70349">
        <w:trPr>
          <w:trHeight w:val="340"/>
        </w:trPr>
        <w:tc>
          <w:tcPr>
            <w:tcW w:w="1184" w:type="dxa"/>
            <w:vMerge/>
            <w:tcBorders>
              <w:top w:val="nil"/>
              <w:left w:val="single" w:sz="8" w:space="0" w:color="auto"/>
              <w:bottom w:val="single" w:sz="4" w:space="0" w:color="auto"/>
              <w:right w:val="single" w:sz="4" w:space="0" w:color="auto"/>
            </w:tcBorders>
            <w:vAlign w:val="center"/>
            <w:hideMark/>
          </w:tcPr>
          <w:p w14:paraId="72221311"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p>
        </w:tc>
        <w:tc>
          <w:tcPr>
            <w:tcW w:w="660" w:type="dxa"/>
            <w:tcBorders>
              <w:top w:val="nil"/>
              <w:left w:val="nil"/>
              <w:bottom w:val="single" w:sz="4" w:space="0" w:color="auto"/>
              <w:right w:val="single" w:sz="4" w:space="0" w:color="auto"/>
            </w:tcBorders>
            <w:shd w:val="clear" w:color="000000" w:fill="FFCC99"/>
            <w:vAlign w:val="bottom"/>
            <w:hideMark/>
          </w:tcPr>
          <w:p w14:paraId="20427015"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2024</w:t>
            </w:r>
          </w:p>
        </w:tc>
        <w:tc>
          <w:tcPr>
            <w:tcW w:w="1158" w:type="dxa"/>
            <w:tcBorders>
              <w:top w:val="nil"/>
              <w:left w:val="nil"/>
              <w:bottom w:val="single" w:sz="4" w:space="0" w:color="auto"/>
              <w:right w:val="single" w:sz="4" w:space="0" w:color="auto"/>
            </w:tcBorders>
            <w:shd w:val="clear" w:color="000000" w:fill="FFCC99"/>
            <w:vAlign w:val="bottom"/>
            <w:hideMark/>
          </w:tcPr>
          <w:p w14:paraId="2FD2A7AD"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26</w:t>
            </w:r>
          </w:p>
        </w:tc>
        <w:tc>
          <w:tcPr>
            <w:tcW w:w="1946" w:type="dxa"/>
            <w:tcBorders>
              <w:top w:val="nil"/>
              <w:left w:val="nil"/>
              <w:bottom w:val="single" w:sz="4" w:space="0" w:color="auto"/>
              <w:right w:val="single" w:sz="4" w:space="0" w:color="auto"/>
            </w:tcBorders>
            <w:shd w:val="clear" w:color="000000" w:fill="FFCC99"/>
            <w:vAlign w:val="bottom"/>
            <w:hideMark/>
          </w:tcPr>
          <w:p w14:paraId="3F776DB7"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4 100 598</w:t>
            </w:r>
          </w:p>
        </w:tc>
        <w:tc>
          <w:tcPr>
            <w:tcW w:w="1959" w:type="dxa"/>
            <w:tcBorders>
              <w:top w:val="nil"/>
              <w:left w:val="nil"/>
              <w:bottom w:val="single" w:sz="4" w:space="0" w:color="auto"/>
              <w:right w:val="single" w:sz="4" w:space="0" w:color="auto"/>
            </w:tcBorders>
            <w:shd w:val="clear" w:color="000000" w:fill="FFCC99"/>
            <w:vAlign w:val="bottom"/>
            <w:hideMark/>
          </w:tcPr>
          <w:p w14:paraId="63B8E576"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3 714 357</w:t>
            </w:r>
          </w:p>
        </w:tc>
        <w:tc>
          <w:tcPr>
            <w:tcW w:w="1953" w:type="dxa"/>
            <w:tcBorders>
              <w:top w:val="nil"/>
              <w:left w:val="nil"/>
              <w:bottom w:val="single" w:sz="4" w:space="0" w:color="auto"/>
              <w:right w:val="single" w:sz="8" w:space="0" w:color="auto"/>
            </w:tcBorders>
            <w:shd w:val="clear" w:color="000000" w:fill="FFCC99"/>
            <w:vAlign w:val="bottom"/>
            <w:hideMark/>
          </w:tcPr>
          <w:p w14:paraId="4747D3DB"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4 308 875</w:t>
            </w:r>
          </w:p>
        </w:tc>
      </w:tr>
      <w:tr w:rsidR="005B0B27" w:rsidRPr="005B0B27" w14:paraId="78698EC5" w14:textId="77777777" w:rsidTr="00B70349">
        <w:trPr>
          <w:trHeight w:val="340"/>
        </w:trPr>
        <w:tc>
          <w:tcPr>
            <w:tcW w:w="1184" w:type="dxa"/>
            <w:vMerge/>
            <w:tcBorders>
              <w:top w:val="nil"/>
              <w:left w:val="single" w:sz="8" w:space="0" w:color="auto"/>
              <w:bottom w:val="single" w:sz="4" w:space="0" w:color="auto"/>
              <w:right w:val="single" w:sz="4" w:space="0" w:color="auto"/>
            </w:tcBorders>
            <w:vAlign w:val="center"/>
            <w:hideMark/>
          </w:tcPr>
          <w:p w14:paraId="2E4958D4"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p>
        </w:tc>
        <w:tc>
          <w:tcPr>
            <w:tcW w:w="660" w:type="dxa"/>
            <w:tcBorders>
              <w:top w:val="nil"/>
              <w:left w:val="nil"/>
              <w:bottom w:val="single" w:sz="4" w:space="0" w:color="auto"/>
              <w:right w:val="single" w:sz="4" w:space="0" w:color="auto"/>
            </w:tcBorders>
            <w:shd w:val="clear" w:color="000000" w:fill="FFCC99"/>
            <w:vAlign w:val="bottom"/>
            <w:hideMark/>
          </w:tcPr>
          <w:p w14:paraId="4EE19AE6"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2025</w:t>
            </w:r>
          </w:p>
        </w:tc>
        <w:tc>
          <w:tcPr>
            <w:tcW w:w="1158" w:type="dxa"/>
            <w:tcBorders>
              <w:top w:val="nil"/>
              <w:left w:val="nil"/>
              <w:bottom w:val="single" w:sz="4" w:space="0" w:color="auto"/>
              <w:right w:val="single" w:sz="4" w:space="0" w:color="auto"/>
            </w:tcBorders>
            <w:shd w:val="clear" w:color="000000" w:fill="FFCC99"/>
            <w:vAlign w:val="bottom"/>
            <w:hideMark/>
          </w:tcPr>
          <w:p w14:paraId="40005A3F"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26</w:t>
            </w:r>
          </w:p>
        </w:tc>
        <w:tc>
          <w:tcPr>
            <w:tcW w:w="1946" w:type="dxa"/>
            <w:tcBorders>
              <w:top w:val="nil"/>
              <w:left w:val="nil"/>
              <w:bottom w:val="single" w:sz="4" w:space="0" w:color="auto"/>
              <w:right w:val="single" w:sz="4" w:space="0" w:color="auto"/>
            </w:tcBorders>
            <w:shd w:val="clear" w:color="000000" w:fill="FFCC99"/>
            <w:vAlign w:val="bottom"/>
            <w:hideMark/>
          </w:tcPr>
          <w:p w14:paraId="689303EB"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4 466 891</w:t>
            </w:r>
          </w:p>
        </w:tc>
        <w:tc>
          <w:tcPr>
            <w:tcW w:w="1959" w:type="dxa"/>
            <w:tcBorders>
              <w:top w:val="nil"/>
              <w:left w:val="nil"/>
              <w:bottom w:val="single" w:sz="4" w:space="0" w:color="auto"/>
              <w:right w:val="single" w:sz="4" w:space="0" w:color="auto"/>
            </w:tcBorders>
            <w:shd w:val="clear" w:color="000000" w:fill="FFCC99"/>
            <w:vAlign w:val="bottom"/>
            <w:hideMark/>
          </w:tcPr>
          <w:p w14:paraId="6B0A30D3"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3 150 845</w:t>
            </w:r>
          </w:p>
        </w:tc>
        <w:tc>
          <w:tcPr>
            <w:tcW w:w="1953" w:type="dxa"/>
            <w:tcBorders>
              <w:top w:val="nil"/>
              <w:left w:val="nil"/>
              <w:bottom w:val="single" w:sz="4" w:space="0" w:color="auto"/>
              <w:right w:val="single" w:sz="8" w:space="0" w:color="auto"/>
            </w:tcBorders>
            <w:shd w:val="clear" w:color="000000" w:fill="FFCC99"/>
            <w:vAlign w:val="bottom"/>
            <w:hideMark/>
          </w:tcPr>
          <w:p w14:paraId="0100026C"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5 987 819</w:t>
            </w:r>
          </w:p>
        </w:tc>
      </w:tr>
      <w:tr w:rsidR="005B0B27" w:rsidRPr="005B0B27" w14:paraId="58D17A50" w14:textId="77777777" w:rsidTr="00B70349">
        <w:trPr>
          <w:trHeight w:val="340"/>
        </w:trPr>
        <w:tc>
          <w:tcPr>
            <w:tcW w:w="1184" w:type="dxa"/>
            <w:vMerge w:val="restart"/>
            <w:tcBorders>
              <w:top w:val="nil"/>
              <w:left w:val="single" w:sz="8" w:space="0" w:color="auto"/>
              <w:bottom w:val="single" w:sz="4" w:space="0" w:color="auto"/>
              <w:right w:val="single" w:sz="4" w:space="0" w:color="auto"/>
            </w:tcBorders>
            <w:shd w:val="clear" w:color="000000" w:fill="C0E6F5"/>
            <w:vAlign w:val="center"/>
            <w:hideMark/>
          </w:tcPr>
          <w:p w14:paraId="04971BD9"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štátne</w:t>
            </w:r>
          </w:p>
        </w:tc>
        <w:tc>
          <w:tcPr>
            <w:tcW w:w="660" w:type="dxa"/>
            <w:tcBorders>
              <w:top w:val="nil"/>
              <w:left w:val="nil"/>
              <w:bottom w:val="single" w:sz="4" w:space="0" w:color="auto"/>
              <w:right w:val="single" w:sz="4" w:space="0" w:color="auto"/>
            </w:tcBorders>
            <w:shd w:val="clear" w:color="000000" w:fill="DAF2D0"/>
            <w:vAlign w:val="bottom"/>
            <w:hideMark/>
          </w:tcPr>
          <w:p w14:paraId="341411A6"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2023</w:t>
            </w:r>
          </w:p>
        </w:tc>
        <w:tc>
          <w:tcPr>
            <w:tcW w:w="1158" w:type="dxa"/>
            <w:tcBorders>
              <w:top w:val="nil"/>
              <w:left w:val="nil"/>
              <w:bottom w:val="single" w:sz="4" w:space="0" w:color="auto"/>
              <w:right w:val="single" w:sz="4" w:space="0" w:color="auto"/>
            </w:tcBorders>
            <w:shd w:val="clear" w:color="000000" w:fill="DAF2D0"/>
            <w:vAlign w:val="bottom"/>
            <w:hideMark/>
          </w:tcPr>
          <w:p w14:paraId="00F5E187"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3</w:t>
            </w:r>
          </w:p>
        </w:tc>
        <w:tc>
          <w:tcPr>
            <w:tcW w:w="1946" w:type="dxa"/>
            <w:tcBorders>
              <w:top w:val="nil"/>
              <w:left w:val="nil"/>
              <w:bottom w:val="single" w:sz="4" w:space="0" w:color="auto"/>
              <w:right w:val="single" w:sz="4" w:space="0" w:color="auto"/>
            </w:tcBorders>
            <w:shd w:val="clear" w:color="000000" w:fill="DAF2D0"/>
            <w:vAlign w:val="bottom"/>
            <w:hideMark/>
          </w:tcPr>
          <w:p w14:paraId="73D9B1CF"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48 923</w:t>
            </w:r>
          </w:p>
        </w:tc>
        <w:tc>
          <w:tcPr>
            <w:tcW w:w="1959" w:type="dxa"/>
            <w:tcBorders>
              <w:top w:val="nil"/>
              <w:left w:val="nil"/>
              <w:bottom w:val="single" w:sz="4" w:space="0" w:color="auto"/>
              <w:right w:val="single" w:sz="4" w:space="0" w:color="auto"/>
            </w:tcBorders>
            <w:shd w:val="clear" w:color="000000" w:fill="DAF2D0"/>
            <w:vAlign w:val="bottom"/>
            <w:hideMark/>
          </w:tcPr>
          <w:p w14:paraId="01875421"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883</w:t>
            </w:r>
          </w:p>
        </w:tc>
        <w:tc>
          <w:tcPr>
            <w:tcW w:w="1953" w:type="dxa"/>
            <w:tcBorders>
              <w:top w:val="nil"/>
              <w:left w:val="nil"/>
              <w:bottom w:val="single" w:sz="4" w:space="0" w:color="auto"/>
              <w:right w:val="single" w:sz="8" w:space="0" w:color="auto"/>
            </w:tcBorders>
            <w:shd w:val="clear" w:color="000000" w:fill="DAF2D0"/>
            <w:vAlign w:val="bottom"/>
            <w:hideMark/>
          </w:tcPr>
          <w:p w14:paraId="3FB333A8"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388</w:t>
            </w:r>
          </w:p>
        </w:tc>
      </w:tr>
      <w:tr w:rsidR="005B0B27" w:rsidRPr="005B0B27" w14:paraId="037503C6" w14:textId="77777777" w:rsidTr="00B70349">
        <w:trPr>
          <w:trHeight w:val="340"/>
        </w:trPr>
        <w:tc>
          <w:tcPr>
            <w:tcW w:w="1184" w:type="dxa"/>
            <w:vMerge/>
            <w:tcBorders>
              <w:top w:val="nil"/>
              <w:left w:val="single" w:sz="8" w:space="0" w:color="auto"/>
              <w:bottom w:val="single" w:sz="4" w:space="0" w:color="auto"/>
              <w:right w:val="single" w:sz="4" w:space="0" w:color="auto"/>
            </w:tcBorders>
            <w:vAlign w:val="center"/>
            <w:hideMark/>
          </w:tcPr>
          <w:p w14:paraId="774E42E6"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p>
        </w:tc>
        <w:tc>
          <w:tcPr>
            <w:tcW w:w="660" w:type="dxa"/>
            <w:tcBorders>
              <w:top w:val="nil"/>
              <w:left w:val="nil"/>
              <w:bottom w:val="single" w:sz="4" w:space="0" w:color="auto"/>
              <w:right w:val="single" w:sz="4" w:space="0" w:color="auto"/>
            </w:tcBorders>
            <w:shd w:val="clear" w:color="000000" w:fill="DAF2D0"/>
            <w:vAlign w:val="bottom"/>
            <w:hideMark/>
          </w:tcPr>
          <w:p w14:paraId="10696AB8"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2024</w:t>
            </w:r>
          </w:p>
        </w:tc>
        <w:tc>
          <w:tcPr>
            <w:tcW w:w="1158" w:type="dxa"/>
            <w:tcBorders>
              <w:top w:val="nil"/>
              <w:left w:val="nil"/>
              <w:bottom w:val="single" w:sz="4" w:space="0" w:color="auto"/>
              <w:right w:val="single" w:sz="4" w:space="0" w:color="auto"/>
            </w:tcBorders>
            <w:shd w:val="clear" w:color="000000" w:fill="DAF2D0"/>
            <w:vAlign w:val="bottom"/>
            <w:hideMark/>
          </w:tcPr>
          <w:p w14:paraId="372FBD61"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3</w:t>
            </w:r>
          </w:p>
        </w:tc>
        <w:tc>
          <w:tcPr>
            <w:tcW w:w="1946" w:type="dxa"/>
            <w:tcBorders>
              <w:top w:val="nil"/>
              <w:left w:val="nil"/>
              <w:bottom w:val="single" w:sz="4" w:space="0" w:color="auto"/>
              <w:right w:val="single" w:sz="4" w:space="0" w:color="auto"/>
            </w:tcBorders>
            <w:shd w:val="clear" w:color="000000" w:fill="DAF2D0"/>
            <w:vAlign w:val="bottom"/>
            <w:hideMark/>
          </w:tcPr>
          <w:p w14:paraId="3D811658"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29 757</w:t>
            </w:r>
          </w:p>
        </w:tc>
        <w:tc>
          <w:tcPr>
            <w:tcW w:w="1959" w:type="dxa"/>
            <w:tcBorders>
              <w:top w:val="nil"/>
              <w:left w:val="nil"/>
              <w:bottom w:val="single" w:sz="4" w:space="0" w:color="auto"/>
              <w:right w:val="single" w:sz="4" w:space="0" w:color="auto"/>
            </w:tcBorders>
            <w:shd w:val="clear" w:color="000000" w:fill="DAF2D0"/>
            <w:vAlign w:val="bottom"/>
            <w:hideMark/>
          </w:tcPr>
          <w:p w14:paraId="1C42FB39"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600</w:t>
            </w:r>
          </w:p>
        </w:tc>
        <w:tc>
          <w:tcPr>
            <w:tcW w:w="1953" w:type="dxa"/>
            <w:tcBorders>
              <w:top w:val="nil"/>
              <w:left w:val="nil"/>
              <w:bottom w:val="single" w:sz="4" w:space="0" w:color="auto"/>
              <w:right w:val="single" w:sz="8" w:space="0" w:color="auto"/>
            </w:tcBorders>
            <w:shd w:val="clear" w:color="000000" w:fill="DAF2D0"/>
            <w:vAlign w:val="bottom"/>
            <w:hideMark/>
          </w:tcPr>
          <w:p w14:paraId="50AC7799"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165</w:t>
            </w:r>
          </w:p>
        </w:tc>
      </w:tr>
      <w:tr w:rsidR="005B0B27" w:rsidRPr="005B0B27" w14:paraId="0762DCE3" w14:textId="77777777" w:rsidTr="00B70349">
        <w:trPr>
          <w:trHeight w:val="340"/>
        </w:trPr>
        <w:tc>
          <w:tcPr>
            <w:tcW w:w="1184" w:type="dxa"/>
            <w:vMerge/>
            <w:tcBorders>
              <w:top w:val="nil"/>
              <w:left w:val="single" w:sz="8" w:space="0" w:color="auto"/>
              <w:bottom w:val="single" w:sz="4" w:space="0" w:color="auto"/>
              <w:right w:val="single" w:sz="4" w:space="0" w:color="auto"/>
            </w:tcBorders>
            <w:vAlign w:val="center"/>
            <w:hideMark/>
          </w:tcPr>
          <w:p w14:paraId="3B1E7894"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p>
        </w:tc>
        <w:tc>
          <w:tcPr>
            <w:tcW w:w="660" w:type="dxa"/>
            <w:tcBorders>
              <w:top w:val="nil"/>
              <w:left w:val="nil"/>
              <w:bottom w:val="single" w:sz="4" w:space="0" w:color="auto"/>
              <w:right w:val="single" w:sz="4" w:space="0" w:color="auto"/>
            </w:tcBorders>
            <w:shd w:val="clear" w:color="000000" w:fill="DAF2D0"/>
            <w:vAlign w:val="bottom"/>
            <w:hideMark/>
          </w:tcPr>
          <w:p w14:paraId="1B04A1B5"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2025</w:t>
            </w:r>
          </w:p>
        </w:tc>
        <w:tc>
          <w:tcPr>
            <w:tcW w:w="1158" w:type="dxa"/>
            <w:tcBorders>
              <w:top w:val="nil"/>
              <w:left w:val="nil"/>
              <w:bottom w:val="single" w:sz="4" w:space="0" w:color="auto"/>
              <w:right w:val="single" w:sz="4" w:space="0" w:color="auto"/>
            </w:tcBorders>
            <w:shd w:val="clear" w:color="000000" w:fill="DAF2D0"/>
            <w:vAlign w:val="bottom"/>
            <w:hideMark/>
          </w:tcPr>
          <w:p w14:paraId="1BBC4B5D"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3</w:t>
            </w:r>
          </w:p>
        </w:tc>
        <w:tc>
          <w:tcPr>
            <w:tcW w:w="1946" w:type="dxa"/>
            <w:tcBorders>
              <w:top w:val="nil"/>
              <w:left w:val="nil"/>
              <w:bottom w:val="single" w:sz="4" w:space="0" w:color="auto"/>
              <w:right w:val="single" w:sz="4" w:space="0" w:color="auto"/>
            </w:tcBorders>
            <w:shd w:val="clear" w:color="000000" w:fill="DAF2D0"/>
            <w:vAlign w:val="bottom"/>
            <w:hideMark/>
          </w:tcPr>
          <w:p w14:paraId="21A3E184"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69 941</w:t>
            </w:r>
          </w:p>
        </w:tc>
        <w:tc>
          <w:tcPr>
            <w:tcW w:w="1959" w:type="dxa"/>
            <w:tcBorders>
              <w:top w:val="nil"/>
              <w:left w:val="nil"/>
              <w:bottom w:val="single" w:sz="4" w:space="0" w:color="auto"/>
              <w:right w:val="single" w:sz="4" w:space="0" w:color="auto"/>
            </w:tcBorders>
            <w:shd w:val="clear" w:color="000000" w:fill="DAF2D0"/>
            <w:vAlign w:val="bottom"/>
            <w:hideMark/>
          </w:tcPr>
          <w:p w14:paraId="270F374F"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735</w:t>
            </w:r>
          </w:p>
        </w:tc>
        <w:tc>
          <w:tcPr>
            <w:tcW w:w="1953" w:type="dxa"/>
            <w:tcBorders>
              <w:top w:val="nil"/>
              <w:left w:val="nil"/>
              <w:bottom w:val="single" w:sz="4" w:space="0" w:color="auto"/>
              <w:right w:val="single" w:sz="8" w:space="0" w:color="auto"/>
            </w:tcBorders>
            <w:shd w:val="clear" w:color="000000" w:fill="DAF2D0"/>
            <w:vAlign w:val="bottom"/>
            <w:hideMark/>
          </w:tcPr>
          <w:p w14:paraId="0DC98793"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361</w:t>
            </w:r>
          </w:p>
        </w:tc>
      </w:tr>
      <w:tr w:rsidR="005B0B27" w:rsidRPr="005B0B27" w14:paraId="6D673741" w14:textId="77777777" w:rsidTr="00B70349">
        <w:trPr>
          <w:trHeight w:val="340"/>
        </w:trPr>
        <w:tc>
          <w:tcPr>
            <w:tcW w:w="1184" w:type="dxa"/>
            <w:vMerge w:val="restart"/>
            <w:tcBorders>
              <w:top w:val="nil"/>
              <w:left w:val="single" w:sz="8" w:space="0" w:color="auto"/>
              <w:bottom w:val="single" w:sz="8" w:space="0" w:color="000000"/>
              <w:right w:val="single" w:sz="4" w:space="0" w:color="auto"/>
            </w:tcBorders>
            <w:shd w:val="clear" w:color="000000" w:fill="C0E6F5"/>
            <w:vAlign w:val="center"/>
            <w:hideMark/>
          </w:tcPr>
          <w:p w14:paraId="76C092B4"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súkromné</w:t>
            </w:r>
          </w:p>
        </w:tc>
        <w:tc>
          <w:tcPr>
            <w:tcW w:w="660" w:type="dxa"/>
            <w:tcBorders>
              <w:top w:val="nil"/>
              <w:left w:val="nil"/>
              <w:bottom w:val="single" w:sz="4" w:space="0" w:color="auto"/>
              <w:right w:val="single" w:sz="4" w:space="0" w:color="auto"/>
            </w:tcBorders>
            <w:shd w:val="clear" w:color="000000" w:fill="FFFF99"/>
            <w:vAlign w:val="bottom"/>
            <w:hideMark/>
          </w:tcPr>
          <w:p w14:paraId="54C903F7"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2023</w:t>
            </w:r>
          </w:p>
        </w:tc>
        <w:tc>
          <w:tcPr>
            <w:tcW w:w="1158" w:type="dxa"/>
            <w:tcBorders>
              <w:top w:val="nil"/>
              <w:left w:val="nil"/>
              <w:bottom w:val="single" w:sz="4" w:space="0" w:color="auto"/>
              <w:right w:val="single" w:sz="4" w:space="0" w:color="auto"/>
            </w:tcBorders>
            <w:shd w:val="clear" w:color="000000" w:fill="FFFF99"/>
            <w:vAlign w:val="bottom"/>
            <w:hideMark/>
          </w:tcPr>
          <w:p w14:paraId="3EAA0F3F"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10</w:t>
            </w:r>
          </w:p>
        </w:tc>
        <w:tc>
          <w:tcPr>
            <w:tcW w:w="1946" w:type="dxa"/>
            <w:tcBorders>
              <w:top w:val="nil"/>
              <w:left w:val="nil"/>
              <w:bottom w:val="single" w:sz="4" w:space="0" w:color="auto"/>
              <w:right w:val="single" w:sz="4" w:space="0" w:color="auto"/>
            </w:tcBorders>
            <w:shd w:val="clear" w:color="000000" w:fill="FFFF99"/>
            <w:vAlign w:val="bottom"/>
            <w:hideMark/>
          </w:tcPr>
          <w:p w14:paraId="1D17A8AC"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5 255</w:t>
            </w:r>
          </w:p>
        </w:tc>
        <w:tc>
          <w:tcPr>
            <w:tcW w:w="1959" w:type="dxa"/>
            <w:tcBorders>
              <w:top w:val="nil"/>
              <w:left w:val="nil"/>
              <w:bottom w:val="single" w:sz="4" w:space="0" w:color="auto"/>
              <w:right w:val="single" w:sz="4" w:space="0" w:color="auto"/>
            </w:tcBorders>
            <w:shd w:val="clear" w:color="000000" w:fill="FFFF99"/>
            <w:vAlign w:val="bottom"/>
            <w:hideMark/>
          </w:tcPr>
          <w:p w14:paraId="2FAE9E96"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314</w:t>
            </w:r>
          </w:p>
        </w:tc>
        <w:tc>
          <w:tcPr>
            <w:tcW w:w="1953" w:type="dxa"/>
            <w:tcBorders>
              <w:top w:val="nil"/>
              <w:left w:val="nil"/>
              <w:bottom w:val="single" w:sz="4" w:space="0" w:color="auto"/>
              <w:right w:val="single" w:sz="8" w:space="0" w:color="auto"/>
            </w:tcBorders>
            <w:shd w:val="clear" w:color="000000" w:fill="FFFF99"/>
            <w:vAlign w:val="bottom"/>
            <w:hideMark/>
          </w:tcPr>
          <w:p w14:paraId="59069AA3"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59</w:t>
            </w:r>
          </w:p>
        </w:tc>
      </w:tr>
      <w:tr w:rsidR="005B0B27" w:rsidRPr="005B0B27" w14:paraId="6F368782" w14:textId="77777777" w:rsidTr="00B70349">
        <w:trPr>
          <w:trHeight w:val="340"/>
        </w:trPr>
        <w:tc>
          <w:tcPr>
            <w:tcW w:w="1184" w:type="dxa"/>
            <w:vMerge/>
            <w:tcBorders>
              <w:top w:val="nil"/>
              <w:left w:val="single" w:sz="8" w:space="0" w:color="auto"/>
              <w:bottom w:val="single" w:sz="8" w:space="0" w:color="000000"/>
              <w:right w:val="single" w:sz="4" w:space="0" w:color="auto"/>
            </w:tcBorders>
            <w:vAlign w:val="center"/>
            <w:hideMark/>
          </w:tcPr>
          <w:p w14:paraId="2BBFA2DD"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p>
        </w:tc>
        <w:tc>
          <w:tcPr>
            <w:tcW w:w="660" w:type="dxa"/>
            <w:tcBorders>
              <w:top w:val="nil"/>
              <w:left w:val="nil"/>
              <w:bottom w:val="single" w:sz="4" w:space="0" w:color="auto"/>
              <w:right w:val="single" w:sz="4" w:space="0" w:color="auto"/>
            </w:tcBorders>
            <w:shd w:val="clear" w:color="000000" w:fill="FFFF99"/>
            <w:vAlign w:val="bottom"/>
            <w:hideMark/>
          </w:tcPr>
          <w:p w14:paraId="71D7C1A3"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2024</w:t>
            </w:r>
          </w:p>
        </w:tc>
        <w:tc>
          <w:tcPr>
            <w:tcW w:w="1158" w:type="dxa"/>
            <w:tcBorders>
              <w:top w:val="nil"/>
              <w:left w:val="nil"/>
              <w:bottom w:val="single" w:sz="4" w:space="0" w:color="auto"/>
              <w:right w:val="single" w:sz="4" w:space="0" w:color="auto"/>
            </w:tcBorders>
            <w:shd w:val="clear" w:color="000000" w:fill="FFFF99"/>
            <w:vAlign w:val="bottom"/>
            <w:hideMark/>
          </w:tcPr>
          <w:p w14:paraId="7D2C83BF"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10</w:t>
            </w:r>
          </w:p>
        </w:tc>
        <w:tc>
          <w:tcPr>
            <w:tcW w:w="1946" w:type="dxa"/>
            <w:tcBorders>
              <w:top w:val="nil"/>
              <w:left w:val="nil"/>
              <w:bottom w:val="single" w:sz="4" w:space="0" w:color="auto"/>
              <w:right w:val="single" w:sz="4" w:space="0" w:color="auto"/>
            </w:tcBorders>
            <w:shd w:val="clear" w:color="000000" w:fill="FFFF99"/>
            <w:vAlign w:val="bottom"/>
            <w:hideMark/>
          </w:tcPr>
          <w:p w14:paraId="2FC72834"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4 911</w:t>
            </w:r>
          </w:p>
        </w:tc>
        <w:tc>
          <w:tcPr>
            <w:tcW w:w="1959" w:type="dxa"/>
            <w:tcBorders>
              <w:top w:val="nil"/>
              <w:left w:val="nil"/>
              <w:bottom w:val="single" w:sz="4" w:space="0" w:color="auto"/>
              <w:right w:val="single" w:sz="4" w:space="0" w:color="auto"/>
            </w:tcBorders>
            <w:shd w:val="clear" w:color="000000" w:fill="FFFF99"/>
            <w:vAlign w:val="bottom"/>
            <w:hideMark/>
          </w:tcPr>
          <w:p w14:paraId="065E2970"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307</w:t>
            </w:r>
          </w:p>
        </w:tc>
        <w:tc>
          <w:tcPr>
            <w:tcW w:w="1953" w:type="dxa"/>
            <w:tcBorders>
              <w:top w:val="nil"/>
              <w:left w:val="nil"/>
              <w:bottom w:val="single" w:sz="4" w:space="0" w:color="auto"/>
              <w:right w:val="single" w:sz="8" w:space="0" w:color="auto"/>
            </w:tcBorders>
            <w:shd w:val="clear" w:color="000000" w:fill="FFFF99"/>
            <w:vAlign w:val="bottom"/>
            <w:hideMark/>
          </w:tcPr>
          <w:p w14:paraId="6568594B"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67</w:t>
            </w:r>
          </w:p>
        </w:tc>
      </w:tr>
      <w:tr w:rsidR="005B0B27" w:rsidRPr="005B0B27" w14:paraId="262B0F11" w14:textId="77777777" w:rsidTr="00B70349">
        <w:trPr>
          <w:trHeight w:val="340"/>
        </w:trPr>
        <w:tc>
          <w:tcPr>
            <w:tcW w:w="1184" w:type="dxa"/>
            <w:vMerge/>
            <w:tcBorders>
              <w:top w:val="nil"/>
              <w:left w:val="single" w:sz="8" w:space="0" w:color="auto"/>
              <w:bottom w:val="single" w:sz="8" w:space="0" w:color="000000"/>
              <w:right w:val="single" w:sz="4" w:space="0" w:color="auto"/>
            </w:tcBorders>
            <w:vAlign w:val="center"/>
            <w:hideMark/>
          </w:tcPr>
          <w:p w14:paraId="19F96A55"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p>
        </w:tc>
        <w:tc>
          <w:tcPr>
            <w:tcW w:w="660" w:type="dxa"/>
            <w:tcBorders>
              <w:top w:val="nil"/>
              <w:left w:val="nil"/>
              <w:bottom w:val="single" w:sz="8" w:space="0" w:color="auto"/>
              <w:right w:val="single" w:sz="4" w:space="0" w:color="auto"/>
            </w:tcBorders>
            <w:shd w:val="clear" w:color="000000" w:fill="FFFF99"/>
            <w:vAlign w:val="bottom"/>
            <w:hideMark/>
          </w:tcPr>
          <w:p w14:paraId="10710C22"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2025</w:t>
            </w:r>
          </w:p>
        </w:tc>
        <w:tc>
          <w:tcPr>
            <w:tcW w:w="1158" w:type="dxa"/>
            <w:tcBorders>
              <w:top w:val="nil"/>
              <w:left w:val="nil"/>
              <w:bottom w:val="single" w:sz="8" w:space="0" w:color="auto"/>
              <w:right w:val="single" w:sz="4" w:space="0" w:color="auto"/>
            </w:tcBorders>
            <w:shd w:val="clear" w:color="000000" w:fill="FFFF99"/>
            <w:vAlign w:val="bottom"/>
            <w:hideMark/>
          </w:tcPr>
          <w:p w14:paraId="5BEB323E"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10</w:t>
            </w:r>
          </w:p>
        </w:tc>
        <w:tc>
          <w:tcPr>
            <w:tcW w:w="1946" w:type="dxa"/>
            <w:tcBorders>
              <w:top w:val="nil"/>
              <w:left w:val="nil"/>
              <w:bottom w:val="single" w:sz="8" w:space="0" w:color="auto"/>
              <w:right w:val="single" w:sz="4" w:space="0" w:color="auto"/>
            </w:tcBorders>
            <w:shd w:val="clear" w:color="000000" w:fill="FFFF99"/>
            <w:vAlign w:val="bottom"/>
            <w:hideMark/>
          </w:tcPr>
          <w:p w14:paraId="68F34FB6"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6 011</w:t>
            </w:r>
          </w:p>
        </w:tc>
        <w:tc>
          <w:tcPr>
            <w:tcW w:w="1959" w:type="dxa"/>
            <w:tcBorders>
              <w:top w:val="nil"/>
              <w:left w:val="nil"/>
              <w:bottom w:val="single" w:sz="8" w:space="0" w:color="auto"/>
              <w:right w:val="single" w:sz="4" w:space="0" w:color="auto"/>
            </w:tcBorders>
            <w:shd w:val="clear" w:color="000000" w:fill="FFFF99"/>
            <w:vAlign w:val="bottom"/>
            <w:hideMark/>
          </w:tcPr>
          <w:p w14:paraId="5945D521"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323</w:t>
            </w:r>
          </w:p>
        </w:tc>
        <w:tc>
          <w:tcPr>
            <w:tcW w:w="1953" w:type="dxa"/>
            <w:tcBorders>
              <w:top w:val="nil"/>
              <w:left w:val="nil"/>
              <w:bottom w:val="single" w:sz="8" w:space="0" w:color="auto"/>
              <w:right w:val="single" w:sz="8" w:space="0" w:color="auto"/>
            </w:tcBorders>
            <w:shd w:val="clear" w:color="000000" w:fill="FFFF99"/>
            <w:vAlign w:val="bottom"/>
            <w:hideMark/>
          </w:tcPr>
          <w:p w14:paraId="670E2EEC" w14:textId="77777777" w:rsidR="005B0B27" w:rsidRPr="005B0B27" w:rsidRDefault="005B0B27" w:rsidP="00BD03AD">
            <w:pPr>
              <w:spacing w:after="0" w:line="240" w:lineRule="auto"/>
              <w:jc w:val="both"/>
              <w:rPr>
                <w:rFonts w:ascii="Aptos" w:eastAsia="Times New Roman" w:hAnsi="Aptos" w:cs="Times New Roman"/>
                <w:color w:val="000000"/>
                <w:kern w:val="0"/>
                <w:lang w:eastAsia="sk-SK"/>
                <w14:ligatures w14:val="none"/>
              </w:rPr>
            </w:pPr>
            <w:r w:rsidRPr="005B0B27">
              <w:rPr>
                <w:rFonts w:ascii="Aptos" w:eastAsia="Times New Roman" w:hAnsi="Aptos" w:cs="Times New Roman"/>
                <w:color w:val="000000"/>
                <w:kern w:val="0"/>
                <w:lang w:eastAsia="sk-SK"/>
                <w14:ligatures w14:val="none"/>
              </w:rPr>
              <w:t>98</w:t>
            </w:r>
          </w:p>
        </w:tc>
      </w:tr>
    </w:tbl>
    <w:p w14:paraId="69079CAE" w14:textId="024EB66E" w:rsidR="005E7471" w:rsidRDefault="005E7471" w:rsidP="00BD03AD">
      <w:pPr>
        <w:jc w:val="both"/>
      </w:pPr>
    </w:p>
    <w:tbl>
      <w:tblPr>
        <w:tblStyle w:val="Mriekatabuky"/>
        <w:tblW w:w="0" w:type="auto"/>
        <w:tblLook w:val="04A0" w:firstRow="1" w:lastRow="0" w:firstColumn="1" w:lastColumn="0" w:noHBand="0" w:noVBand="1"/>
      </w:tblPr>
      <w:tblGrid>
        <w:gridCol w:w="1332"/>
        <w:gridCol w:w="1323"/>
        <w:gridCol w:w="1439"/>
        <w:gridCol w:w="1963"/>
        <w:gridCol w:w="1583"/>
      </w:tblGrid>
      <w:tr w:rsidR="00BD03AD" w14:paraId="4B6A72EB" w14:textId="77777777" w:rsidTr="00B24EF7">
        <w:tc>
          <w:tcPr>
            <w:tcW w:w="1332" w:type="dxa"/>
            <w:shd w:val="clear" w:color="auto" w:fill="C0E6F5"/>
          </w:tcPr>
          <w:p w14:paraId="14AB24EE" w14:textId="77777777" w:rsidR="00BD03AD" w:rsidRDefault="00BD03AD" w:rsidP="00BD03AD">
            <w:pPr>
              <w:jc w:val="both"/>
              <w:rPr>
                <w:b/>
                <w:bCs/>
              </w:rPr>
            </w:pPr>
          </w:p>
          <w:p w14:paraId="04B46A5F" w14:textId="77777777" w:rsidR="00BD03AD" w:rsidRDefault="00BD03AD" w:rsidP="00BD03AD">
            <w:pPr>
              <w:jc w:val="both"/>
              <w:rPr>
                <w:b/>
                <w:bCs/>
              </w:rPr>
            </w:pPr>
          </w:p>
          <w:p w14:paraId="186182ED" w14:textId="77777777" w:rsidR="00BD03AD" w:rsidRDefault="00BD03AD" w:rsidP="00BD03AD">
            <w:pPr>
              <w:jc w:val="both"/>
              <w:rPr>
                <w:b/>
                <w:bCs/>
              </w:rPr>
            </w:pPr>
            <w:r>
              <w:rPr>
                <w:b/>
                <w:bCs/>
              </w:rPr>
              <w:t>Rok</w:t>
            </w:r>
          </w:p>
        </w:tc>
        <w:tc>
          <w:tcPr>
            <w:tcW w:w="1323" w:type="dxa"/>
            <w:shd w:val="clear" w:color="auto" w:fill="C0E6F5"/>
          </w:tcPr>
          <w:p w14:paraId="6FE86B5A" w14:textId="77777777" w:rsidR="00BD03AD" w:rsidRDefault="00BD03AD" w:rsidP="00BD03AD">
            <w:pPr>
              <w:jc w:val="both"/>
              <w:rPr>
                <w:b/>
                <w:bCs/>
              </w:rPr>
            </w:pPr>
          </w:p>
          <w:p w14:paraId="426B50CF" w14:textId="77777777" w:rsidR="00BD03AD" w:rsidRDefault="00BD03AD" w:rsidP="00BD03AD">
            <w:pPr>
              <w:jc w:val="both"/>
              <w:rPr>
                <w:b/>
                <w:bCs/>
              </w:rPr>
            </w:pPr>
          </w:p>
          <w:p w14:paraId="2A07EB71" w14:textId="77777777" w:rsidR="00BD03AD" w:rsidRDefault="00BD03AD" w:rsidP="00BD03AD">
            <w:pPr>
              <w:jc w:val="both"/>
              <w:rPr>
                <w:b/>
                <w:bCs/>
              </w:rPr>
            </w:pPr>
            <w:r>
              <w:rPr>
                <w:b/>
                <w:bCs/>
              </w:rPr>
              <w:t>Typ VŠ</w:t>
            </w:r>
          </w:p>
        </w:tc>
        <w:tc>
          <w:tcPr>
            <w:tcW w:w="1439" w:type="dxa"/>
            <w:shd w:val="clear" w:color="auto" w:fill="C0E6F5"/>
          </w:tcPr>
          <w:p w14:paraId="0CE02A84" w14:textId="77777777" w:rsidR="00BD03AD" w:rsidRDefault="00BD03AD" w:rsidP="00BD03AD">
            <w:pPr>
              <w:jc w:val="both"/>
              <w:rPr>
                <w:b/>
                <w:bCs/>
              </w:rPr>
            </w:pPr>
            <w:r>
              <w:rPr>
                <w:b/>
                <w:bCs/>
              </w:rPr>
              <w:t>R. 0509</w:t>
            </w:r>
          </w:p>
          <w:p w14:paraId="0ECBC2FA" w14:textId="77777777" w:rsidR="00BD03AD" w:rsidRDefault="00BD03AD" w:rsidP="00BD03AD">
            <w:pPr>
              <w:jc w:val="both"/>
              <w:rPr>
                <w:b/>
                <w:bCs/>
              </w:rPr>
            </w:pPr>
            <w:r>
              <w:rPr>
                <w:b/>
                <w:bCs/>
              </w:rPr>
              <w:t>Počet vstupov do online katalógu</w:t>
            </w:r>
          </w:p>
        </w:tc>
        <w:tc>
          <w:tcPr>
            <w:tcW w:w="1963" w:type="dxa"/>
            <w:shd w:val="clear" w:color="auto" w:fill="C0E6F5"/>
          </w:tcPr>
          <w:p w14:paraId="3A03AD10" w14:textId="77777777" w:rsidR="00BD03AD" w:rsidRDefault="00BD03AD" w:rsidP="00BD03AD">
            <w:pPr>
              <w:jc w:val="both"/>
              <w:rPr>
                <w:b/>
                <w:bCs/>
              </w:rPr>
            </w:pPr>
            <w:r>
              <w:rPr>
                <w:b/>
                <w:bCs/>
              </w:rPr>
              <w:t>R. 0513</w:t>
            </w:r>
          </w:p>
          <w:p w14:paraId="3A131A27" w14:textId="77777777" w:rsidR="00BD03AD" w:rsidRDefault="00BD03AD" w:rsidP="00BD03AD">
            <w:pPr>
              <w:jc w:val="both"/>
              <w:rPr>
                <w:b/>
                <w:bCs/>
              </w:rPr>
            </w:pPr>
            <w:r>
              <w:rPr>
                <w:b/>
                <w:bCs/>
              </w:rPr>
              <w:t>Počet vyhľadávaní v licencovaných EIZ</w:t>
            </w:r>
          </w:p>
        </w:tc>
        <w:tc>
          <w:tcPr>
            <w:tcW w:w="1583" w:type="dxa"/>
            <w:shd w:val="clear" w:color="auto" w:fill="C0E6F5"/>
          </w:tcPr>
          <w:p w14:paraId="09DF0DC2" w14:textId="77777777" w:rsidR="00BD03AD" w:rsidRDefault="00BD03AD" w:rsidP="00BD03AD">
            <w:pPr>
              <w:jc w:val="both"/>
              <w:rPr>
                <w:b/>
                <w:bCs/>
              </w:rPr>
            </w:pPr>
            <w:r>
              <w:rPr>
                <w:b/>
                <w:bCs/>
              </w:rPr>
              <w:t>R 0514</w:t>
            </w:r>
          </w:p>
          <w:p w14:paraId="4D1F78CF" w14:textId="77777777" w:rsidR="00BD03AD" w:rsidRDefault="00BD03AD" w:rsidP="00BD03AD">
            <w:pPr>
              <w:jc w:val="both"/>
              <w:rPr>
                <w:b/>
                <w:bCs/>
              </w:rPr>
            </w:pPr>
            <w:r>
              <w:rPr>
                <w:b/>
                <w:bCs/>
              </w:rPr>
              <w:t>Počet stiahnutých dokumentov</w:t>
            </w:r>
          </w:p>
        </w:tc>
      </w:tr>
      <w:tr w:rsidR="00BD03AD" w14:paraId="56F3E99E" w14:textId="77777777" w:rsidTr="00B24EF7">
        <w:tc>
          <w:tcPr>
            <w:tcW w:w="1332" w:type="dxa"/>
            <w:shd w:val="clear" w:color="auto" w:fill="C0E6F5"/>
          </w:tcPr>
          <w:p w14:paraId="4DC7736B" w14:textId="77777777" w:rsidR="00BD03AD" w:rsidRPr="005D6D50" w:rsidRDefault="00BD03AD" w:rsidP="00BD03AD">
            <w:pPr>
              <w:jc w:val="both"/>
            </w:pPr>
            <w:r w:rsidRPr="005D6D50">
              <w:t>2023</w:t>
            </w:r>
          </w:p>
        </w:tc>
        <w:tc>
          <w:tcPr>
            <w:tcW w:w="1323" w:type="dxa"/>
            <w:shd w:val="clear" w:color="auto" w:fill="E5F5FB"/>
          </w:tcPr>
          <w:p w14:paraId="77A3A5BC" w14:textId="77777777" w:rsidR="00BD03AD" w:rsidRPr="00BE77E1" w:rsidRDefault="00BD03AD" w:rsidP="00BD03AD">
            <w:pPr>
              <w:jc w:val="both"/>
            </w:pPr>
            <w:r>
              <w:t>všetky AK</w:t>
            </w:r>
          </w:p>
        </w:tc>
        <w:tc>
          <w:tcPr>
            <w:tcW w:w="1439" w:type="dxa"/>
            <w:shd w:val="clear" w:color="auto" w:fill="E5F5FB"/>
          </w:tcPr>
          <w:p w14:paraId="5C1A23A4" w14:textId="77777777" w:rsidR="00BD03AD" w:rsidRPr="001462EC" w:rsidRDefault="00BD03AD" w:rsidP="00BD03AD">
            <w:pPr>
              <w:jc w:val="both"/>
            </w:pPr>
            <w:r w:rsidRPr="001462EC">
              <w:t>3 104 983</w:t>
            </w:r>
          </w:p>
        </w:tc>
        <w:tc>
          <w:tcPr>
            <w:tcW w:w="1963" w:type="dxa"/>
            <w:shd w:val="clear" w:color="auto" w:fill="E5F5FB"/>
          </w:tcPr>
          <w:p w14:paraId="71D63EA4" w14:textId="77777777" w:rsidR="00BD03AD" w:rsidRPr="00B736E3" w:rsidRDefault="00BD03AD" w:rsidP="00BD03AD">
            <w:pPr>
              <w:jc w:val="both"/>
            </w:pPr>
            <w:r w:rsidRPr="00B736E3">
              <w:t>3 096 196</w:t>
            </w:r>
          </w:p>
        </w:tc>
        <w:tc>
          <w:tcPr>
            <w:tcW w:w="1583" w:type="dxa"/>
            <w:shd w:val="clear" w:color="auto" w:fill="E5F5FB"/>
          </w:tcPr>
          <w:p w14:paraId="432E0147" w14:textId="77777777" w:rsidR="00BD03AD" w:rsidRPr="00B736E3" w:rsidRDefault="00BD03AD" w:rsidP="00BD03AD">
            <w:pPr>
              <w:jc w:val="both"/>
            </w:pPr>
            <w:r w:rsidRPr="00B736E3">
              <w:t>3 860 677</w:t>
            </w:r>
          </w:p>
        </w:tc>
      </w:tr>
      <w:tr w:rsidR="00BD03AD" w14:paraId="21AA00D5" w14:textId="77777777" w:rsidTr="00B24EF7">
        <w:tc>
          <w:tcPr>
            <w:tcW w:w="1332" w:type="dxa"/>
            <w:shd w:val="clear" w:color="auto" w:fill="C0E6F5"/>
          </w:tcPr>
          <w:p w14:paraId="665630A8" w14:textId="77777777" w:rsidR="00BD03AD" w:rsidRPr="00BE77E1" w:rsidRDefault="00BD03AD" w:rsidP="00BD03AD">
            <w:pPr>
              <w:jc w:val="both"/>
            </w:pPr>
            <w:r>
              <w:t>2024</w:t>
            </w:r>
          </w:p>
        </w:tc>
        <w:tc>
          <w:tcPr>
            <w:tcW w:w="1323" w:type="dxa"/>
            <w:shd w:val="clear" w:color="auto" w:fill="E5F5FB"/>
          </w:tcPr>
          <w:p w14:paraId="13958A34" w14:textId="77777777" w:rsidR="00BD03AD" w:rsidRPr="00BE77E1" w:rsidRDefault="00BD03AD" w:rsidP="00BD03AD">
            <w:pPr>
              <w:jc w:val="both"/>
            </w:pPr>
            <w:r>
              <w:t>všetky AK</w:t>
            </w:r>
          </w:p>
        </w:tc>
        <w:tc>
          <w:tcPr>
            <w:tcW w:w="1439" w:type="dxa"/>
            <w:shd w:val="clear" w:color="auto" w:fill="E5F5FB"/>
          </w:tcPr>
          <w:p w14:paraId="6AE3B951" w14:textId="77777777" w:rsidR="00BD03AD" w:rsidRPr="001462EC" w:rsidRDefault="00BD03AD" w:rsidP="00BD03AD">
            <w:pPr>
              <w:jc w:val="both"/>
            </w:pPr>
            <w:r w:rsidRPr="001462EC">
              <w:t>4 135 266</w:t>
            </w:r>
          </w:p>
        </w:tc>
        <w:tc>
          <w:tcPr>
            <w:tcW w:w="1963" w:type="dxa"/>
            <w:shd w:val="clear" w:color="auto" w:fill="E5F5FB"/>
          </w:tcPr>
          <w:p w14:paraId="3D493CC1" w14:textId="77777777" w:rsidR="00BD03AD" w:rsidRPr="00B736E3" w:rsidRDefault="00BD03AD" w:rsidP="00BD03AD">
            <w:pPr>
              <w:jc w:val="both"/>
            </w:pPr>
            <w:r w:rsidRPr="00B736E3">
              <w:t>3 715 264</w:t>
            </w:r>
          </w:p>
        </w:tc>
        <w:tc>
          <w:tcPr>
            <w:tcW w:w="1583" w:type="dxa"/>
            <w:shd w:val="clear" w:color="auto" w:fill="E5F5FB"/>
          </w:tcPr>
          <w:p w14:paraId="3DAC9A58" w14:textId="77777777" w:rsidR="00BD03AD" w:rsidRPr="00B736E3" w:rsidRDefault="00BD03AD" w:rsidP="00BD03AD">
            <w:pPr>
              <w:jc w:val="both"/>
            </w:pPr>
            <w:r w:rsidRPr="00B736E3">
              <w:t>4 309 107</w:t>
            </w:r>
          </w:p>
        </w:tc>
      </w:tr>
      <w:tr w:rsidR="00BD03AD" w14:paraId="0EFE19D0" w14:textId="77777777" w:rsidTr="00B24EF7">
        <w:tc>
          <w:tcPr>
            <w:tcW w:w="1332" w:type="dxa"/>
            <w:shd w:val="clear" w:color="auto" w:fill="C0E6F5"/>
          </w:tcPr>
          <w:p w14:paraId="11EE9D36" w14:textId="77777777" w:rsidR="00BD03AD" w:rsidRPr="005D6D50" w:rsidRDefault="00BD03AD" w:rsidP="00BD03AD">
            <w:pPr>
              <w:jc w:val="both"/>
            </w:pPr>
            <w:r w:rsidRPr="005D6D50">
              <w:t>2025</w:t>
            </w:r>
          </w:p>
        </w:tc>
        <w:tc>
          <w:tcPr>
            <w:tcW w:w="1323" w:type="dxa"/>
            <w:shd w:val="clear" w:color="auto" w:fill="E5F5FB"/>
          </w:tcPr>
          <w:p w14:paraId="0A11CC14" w14:textId="77777777" w:rsidR="00BD03AD" w:rsidRPr="00BE77E1" w:rsidRDefault="00BD03AD" w:rsidP="00BD03AD">
            <w:pPr>
              <w:jc w:val="both"/>
            </w:pPr>
            <w:r>
              <w:t>všetky AK</w:t>
            </w:r>
          </w:p>
        </w:tc>
        <w:tc>
          <w:tcPr>
            <w:tcW w:w="1439" w:type="dxa"/>
            <w:shd w:val="clear" w:color="auto" w:fill="E5F5FB"/>
          </w:tcPr>
          <w:p w14:paraId="67CEDC3A" w14:textId="77777777" w:rsidR="00BD03AD" w:rsidRPr="001462EC" w:rsidRDefault="00BD03AD" w:rsidP="00BD03AD">
            <w:pPr>
              <w:jc w:val="both"/>
            </w:pPr>
            <w:r w:rsidRPr="001462EC">
              <w:t>4 542 843</w:t>
            </w:r>
          </w:p>
        </w:tc>
        <w:tc>
          <w:tcPr>
            <w:tcW w:w="1963" w:type="dxa"/>
            <w:shd w:val="clear" w:color="auto" w:fill="E5F5FB"/>
          </w:tcPr>
          <w:p w14:paraId="05E3896C" w14:textId="77777777" w:rsidR="00BD03AD" w:rsidRPr="00B736E3" w:rsidRDefault="00BD03AD" w:rsidP="00BD03AD">
            <w:pPr>
              <w:jc w:val="both"/>
            </w:pPr>
            <w:r w:rsidRPr="00B736E3">
              <w:t>3 151 903</w:t>
            </w:r>
          </w:p>
        </w:tc>
        <w:tc>
          <w:tcPr>
            <w:tcW w:w="1583" w:type="dxa"/>
            <w:shd w:val="clear" w:color="auto" w:fill="E5F5FB"/>
          </w:tcPr>
          <w:p w14:paraId="051B9A60" w14:textId="77777777" w:rsidR="00BD03AD" w:rsidRPr="00B736E3" w:rsidRDefault="00BD03AD" w:rsidP="00BD03AD">
            <w:pPr>
              <w:jc w:val="both"/>
            </w:pPr>
            <w:r w:rsidRPr="00B736E3">
              <w:t>5 988 278</w:t>
            </w:r>
          </w:p>
        </w:tc>
      </w:tr>
    </w:tbl>
    <w:p w14:paraId="0B1630C0" w14:textId="77777777" w:rsidR="00BD03AD" w:rsidRDefault="00BD03AD" w:rsidP="00BD03AD">
      <w:pPr>
        <w:jc w:val="both"/>
      </w:pPr>
    </w:p>
    <w:p w14:paraId="7EB60FC9" w14:textId="407718C2" w:rsidR="006A2C7B" w:rsidRDefault="006A2C7B" w:rsidP="00BD03AD">
      <w:pPr>
        <w:jc w:val="both"/>
      </w:pPr>
      <w:r>
        <w:t xml:space="preserve">Význam informačných technológií je stále väčší, tak ako vo všetkých oblastiach nášho života, tak aj v knižniciach vysokých škôl. Takmer  </w:t>
      </w:r>
      <w:r w:rsidR="00A67DA8">
        <w:t xml:space="preserve">u </w:t>
      </w:r>
      <w:r>
        <w:t>všetkých ukazovateľo</w:t>
      </w:r>
      <w:r w:rsidR="00A67DA8">
        <w:t>v</w:t>
      </w:r>
      <w:r>
        <w:t xml:space="preserve"> oddielu V. vidíme stúpajúcu tendenciu</w:t>
      </w:r>
      <w:r w:rsidR="00A67DA8">
        <w:t>. Pokles sme zaznamenali u počtu počítačových staníc v knižniciach, čo je spôsobené tým, že ich význam klesá tým, že študenti často používajú vlastné zariadenia.</w:t>
      </w:r>
    </w:p>
    <w:p w14:paraId="25C07BA6" w14:textId="23F1D605" w:rsidR="00A67DA8" w:rsidRDefault="00A67DA8" w:rsidP="00BD03AD">
      <w:pPr>
        <w:jc w:val="both"/>
      </w:pPr>
      <w:r>
        <w:t>Narastá aj záujem o vzdialený prístup k informačným zdrojom, čo je komfortné riešenie, pri ktorom môže používateľ využívať niektoré služby knižnice – napríklad vyhľadávanie v databázach – v čase a na mieste, ktoré si sám zvolí, zo svojho zariadenia.</w:t>
      </w:r>
    </w:p>
    <w:p w14:paraId="27B34A72" w14:textId="044BE364" w:rsidR="00A67DA8" w:rsidRDefault="00A67DA8" w:rsidP="00BD03AD">
      <w:pPr>
        <w:jc w:val="both"/>
      </w:pPr>
      <w:r>
        <w:t>Počet vyhľadávaní v licencovaných EIZ závisí aj od počtu poskytovaných EIZ, ktorý je závislý od finančných prostriedkov pre tento účel</w:t>
      </w:r>
      <w:r w:rsidR="00227ACB">
        <w:t xml:space="preserve"> a jeho pokles nesvedčí o znížení záujmu používateľov, ale skôr o znížení počtu poskytovaných databáz.</w:t>
      </w:r>
    </w:p>
    <w:p w14:paraId="322A79C8" w14:textId="77777777" w:rsidR="00402C2E" w:rsidRDefault="00727D61" w:rsidP="00BD03AD">
      <w:pPr>
        <w:jc w:val="both"/>
        <w:rPr>
          <w:b/>
          <w:bCs/>
        </w:rPr>
      </w:pPr>
      <w:r>
        <w:lastRenderedPageBreak/>
        <w:t xml:space="preserve">V oddiele VI. </w:t>
      </w:r>
      <w:r w:rsidRPr="00727D61">
        <w:rPr>
          <w:i/>
          <w:iCs/>
        </w:rPr>
        <w:t>Zamestnanci knižnice</w:t>
      </w:r>
      <w:r>
        <w:t xml:space="preserve"> nás zaujímal </w:t>
      </w:r>
      <w:r w:rsidRPr="00727D61">
        <w:rPr>
          <w:b/>
          <w:bCs/>
        </w:rPr>
        <w:t xml:space="preserve">riadok 0602 – </w:t>
      </w:r>
      <w:r>
        <w:rPr>
          <w:b/>
          <w:bCs/>
        </w:rPr>
        <w:t>Počet z</w:t>
      </w:r>
      <w:r w:rsidRPr="00727D61">
        <w:rPr>
          <w:b/>
          <w:bCs/>
        </w:rPr>
        <w:t>amestnanc</w:t>
      </w:r>
      <w:r>
        <w:rPr>
          <w:b/>
          <w:bCs/>
        </w:rPr>
        <w:t xml:space="preserve">ov </w:t>
      </w:r>
      <w:r w:rsidRPr="00727D61">
        <w:rPr>
          <w:b/>
          <w:bCs/>
        </w:rPr>
        <w:t>knižnice vykonávajúci</w:t>
      </w:r>
      <w:r>
        <w:rPr>
          <w:b/>
          <w:bCs/>
        </w:rPr>
        <w:t>ch</w:t>
      </w:r>
      <w:r w:rsidRPr="00727D61">
        <w:rPr>
          <w:b/>
          <w:bCs/>
        </w:rPr>
        <w:t xml:space="preserve"> knihovnícke činnosti</w:t>
      </w:r>
      <w:r>
        <w:rPr>
          <w:b/>
          <w:bCs/>
        </w:rPr>
        <w:t xml:space="preserve"> </w:t>
      </w:r>
      <w:r w:rsidRPr="00727D61">
        <w:t>a</w:t>
      </w:r>
      <w:r w:rsidR="00BC65F4">
        <w:t xml:space="preserve"> z toho </w:t>
      </w:r>
      <w:r>
        <w:t>P</w:t>
      </w:r>
      <w:r>
        <w:rPr>
          <w:b/>
          <w:bCs/>
        </w:rPr>
        <w:t>očet zamestnancov s VŠ knihovníckym vzdelaním (riadok 0603) a </w:t>
      </w:r>
      <w:r w:rsidR="00E60AF0">
        <w:rPr>
          <w:b/>
          <w:bCs/>
        </w:rPr>
        <w:t>P</w:t>
      </w:r>
      <w:r>
        <w:rPr>
          <w:b/>
          <w:bCs/>
        </w:rPr>
        <w:t xml:space="preserve">očet </w:t>
      </w:r>
      <w:r w:rsidR="00E60AF0">
        <w:rPr>
          <w:b/>
          <w:bCs/>
        </w:rPr>
        <w:t xml:space="preserve">zamestnancov </w:t>
      </w:r>
      <w:r>
        <w:rPr>
          <w:b/>
          <w:bCs/>
        </w:rPr>
        <w:t>so SŠ knihovníckym vzdelaním</w:t>
      </w:r>
      <w:r w:rsidR="00E60AF0">
        <w:rPr>
          <w:b/>
          <w:bCs/>
        </w:rPr>
        <w:t xml:space="preserve"> (riadok 0604</w:t>
      </w:r>
      <w:r w:rsidR="00BC65F4" w:rsidRPr="00BC65F4">
        <w:t>, tiež z riadku 0602</w:t>
      </w:r>
      <w:r w:rsidR="00E60AF0">
        <w:rPr>
          <w:b/>
          <w:bCs/>
        </w:rPr>
        <w:t>)</w:t>
      </w:r>
      <w:r w:rsidR="00BC65F4">
        <w:rPr>
          <w:b/>
          <w:bCs/>
        </w:rPr>
        <w:t>.</w:t>
      </w:r>
    </w:p>
    <w:p w14:paraId="5B9C1864" w14:textId="5393E41E" w:rsidR="00402C2E" w:rsidRDefault="00765A02" w:rsidP="00BD03AD">
      <w:pPr>
        <w:jc w:val="both"/>
        <w:rPr>
          <w:b/>
          <w:bCs/>
          <w:noProof/>
        </w:rPr>
      </w:pPr>
      <w:r>
        <w:rPr>
          <w:b/>
          <w:bCs/>
          <w:noProof/>
        </w:rPr>
        <w:drawing>
          <wp:inline distT="0" distB="0" distL="0" distR="0" wp14:anchorId="6BA33E32" wp14:editId="7CC3BF1D">
            <wp:extent cx="5760720" cy="3361055"/>
            <wp:effectExtent l="0" t="0" r="0" b="6350"/>
            <wp:docPr id="1395151575" name="Obrázok 3" descr="Zamestnanci - podiel v rámci 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51575" name="Obrázok 3" descr="Zamestnanci - podiel v rámci 060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361055"/>
                    </a:xfrm>
                    <a:prstGeom prst="rect">
                      <a:avLst/>
                    </a:prstGeom>
                  </pic:spPr>
                </pic:pic>
              </a:graphicData>
            </a:graphic>
          </wp:inline>
        </w:drawing>
      </w:r>
    </w:p>
    <w:p w14:paraId="6214081D" w14:textId="1F56818B" w:rsidR="0022232C" w:rsidRPr="0022232C" w:rsidRDefault="0022232C" w:rsidP="00BD03AD">
      <w:pPr>
        <w:jc w:val="both"/>
      </w:pPr>
      <w:r>
        <w:t>Vidieť, že p</w:t>
      </w:r>
      <w:r w:rsidRPr="0022232C">
        <w:t xml:space="preserve">odiel </w:t>
      </w:r>
      <w:r>
        <w:t xml:space="preserve">zamestnancov s </w:t>
      </w:r>
      <w:r w:rsidRPr="0022232C">
        <w:rPr>
          <w:b/>
          <w:bCs/>
        </w:rPr>
        <w:t>VŠ knihovníck</w:t>
      </w:r>
      <w:r>
        <w:rPr>
          <w:b/>
          <w:bCs/>
        </w:rPr>
        <w:t>ym</w:t>
      </w:r>
      <w:r w:rsidRPr="0022232C">
        <w:rPr>
          <w:b/>
          <w:bCs/>
        </w:rPr>
        <w:t xml:space="preserve"> vzdelan</w:t>
      </w:r>
      <w:r>
        <w:rPr>
          <w:b/>
          <w:bCs/>
        </w:rPr>
        <w:t xml:space="preserve">ím </w:t>
      </w:r>
      <w:r w:rsidRPr="0022232C">
        <w:rPr>
          <w:b/>
          <w:bCs/>
        </w:rPr>
        <w:t xml:space="preserve"> (0603)</w:t>
      </w:r>
      <w:r w:rsidRPr="0022232C">
        <w:t xml:space="preserve"> klesol zhruba z</w:t>
      </w:r>
      <w:r>
        <w:t> </w:t>
      </w:r>
      <w:r w:rsidRPr="0022232C">
        <w:t>2</w:t>
      </w:r>
      <w:r>
        <w:t xml:space="preserve">1 % </w:t>
      </w:r>
      <w:r w:rsidRPr="0022232C">
        <w:t xml:space="preserve"> (2023) na 19 % (2025</w:t>
      </w:r>
      <w:r>
        <w:t>).</w:t>
      </w:r>
    </w:p>
    <w:p w14:paraId="35881D60" w14:textId="1E5521F1" w:rsidR="0022232C" w:rsidRPr="0022232C" w:rsidRDefault="0022232C" w:rsidP="00BD03AD">
      <w:pPr>
        <w:jc w:val="both"/>
      </w:pPr>
      <w:r w:rsidRPr="0022232C">
        <w:t>Podiel</w:t>
      </w:r>
      <w:r w:rsidR="00CC64B7">
        <w:t xml:space="preserve"> zamestnancov so</w:t>
      </w:r>
      <w:r w:rsidRPr="0022232C">
        <w:t xml:space="preserve"> </w:t>
      </w:r>
      <w:r w:rsidRPr="0022232C">
        <w:rPr>
          <w:b/>
          <w:bCs/>
        </w:rPr>
        <w:t>SŠ knihovníck</w:t>
      </w:r>
      <w:r w:rsidR="00CC64B7">
        <w:rPr>
          <w:b/>
          <w:bCs/>
        </w:rPr>
        <w:t xml:space="preserve">ym </w:t>
      </w:r>
      <w:r w:rsidRPr="0022232C">
        <w:rPr>
          <w:b/>
          <w:bCs/>
        </w:rPr>
        <w:t xml:space="preserve"> vzdelan</w:t>
      </w:r>
      <w:r w:rsidR="00CC64B7">
        <w:rPr>
          <w:b/>
          <w:bCs/>
        </w:rPr>
        <w:t xml:space="preserve">ím </w:t>
      </w:r>
      <w:r w:rsidRPr="0022232C">
        <w:rPr>
          <w:b/>
          <w:bCs/>
        </w:rPr>
        <w:t>(0604)</w:t>
      </w:r>
      <w:r w:rsidRPr="0022232C">
        <w:t xml:space="preserve"> je stabilný okolo 20 %. </w:t>
      </w:r>
    </w:p>
    <w:p w14:paraId="41DBB861" w14:textId="744F4D9F" w:rsidR="0022232C" w:rsidRDefault="0022232C" w:rsidP="00BD03AD">
      <w:pPr>
        <w:jc w:val="both"/>
      </w:pPr>
      <w:r w:rsidRPr="0022232C">
        <w:rPr>
          <w:b/>
          <w:bCs/>
        </w:rPr>
        <w:t>Ostatní v rámci 0602</w:t>
      </w:r>
      <w:r w:rsidR="00CC64B7">
        <w:t xml:space="preserve"> </w:t>
      </w:r>
      <w:r w:rsidRPr="0022232C">
        <w:t>(bez VŠ/SŠ knihovníckeho vzdelania) tvor</w:t>
      </w:r>
      <w:r w:rsidR="00CC64B7">
        <w:t>ia</w:t>
      </w:r>
      <w:r w:rsidRPr="0022232C">
        <w:t xml:space="preserve"> približne 59–61 % a v 2025 je </w:t>
      </w:r>
      <w:r w:rsidR="009A3AEB">
        <w:t xml:space="preserve">ich dokonca </w:t>
      </w:r>
      <w:r w:rsidRPr="0022232C">
        <w:t xml:space="preserve">mierne vyšší podiel. </w:t>
      </w:r>
    </w:p>
    <w:p w14:paraId="3E35062B" w14:textId="7EE560F9" w:rsidR="009A3AEB" w:rsidRDefault="00AC40D7" w:rsidP="00BD03AD">
      <w:pPr>
        <w:jc w:val="both"/>
      </w:pPr>
      <w:r>
        <w:t>O</w:t>
      </w:r>
      <w:r w:rsidR="009A3AEB">
        <w:t> tý</w:t>
      </w:r>
      <w:r>
        <w:t>ch</w:t>
      </w:r>
      <w:r w:rsidR="009A3AEB">
        <w:t xml:space="preserve">to skutočnostiam </w:t>
      </w:r>
      <w:r>
        <w:t>máme názor, že tento trend nie je priaznivý. V praxi sa logicky ukazuje, že knihovnícke vzdelanie je veľkou výhodou a</w:t>
      </w:r>
      <w:r w:rsidR="00C5617D">
        <w:t> </w:t>
      </w:r>
      <w:r>
        <w:t>zamestnanci</w:t>
      </w:r>
      <w:r w:rsidR="00C5617D">
        <w:t xml:space="preserve"> v knižniciach</w:t>
      </w:r>
      <w:r>
        <w:t>, ktorí ním disponujú</w:t>
      </w:r>
      <w:r w:rsidR="00C5617D">
        <w:t xml:space="preserve">, </w:t>
      </w:r>
      <w:r>
        <w:t>majú výraznú prevahu voči zamestnancom s iným vzdelaním. Vyznajú sa v odbore, terminológii a majú prehľad, ktorý neknihovníci pracne a dlhodobo získavajú a v úplnosti ani nezískajú. Preto je vhodné doplniť si vzdelanie a využiť existujúce možnosti, aj na Katedre knižničnej a informačnej vedy Filozofickej fakulty Univerzity Komenského</w:t>
      </w:r>
      <w:r w:rsidR="003C3599">
        <w:t xml:space="preserve"> alebo aspoň certifikované knihovnícke kurzy.</w:t>
      </w:r>
    </w:p>
    <w:p w14:paraId="4CB9721E" w14:textId="77777777" w:rsidR="00BD03AD" w:rsidRDefault="00BD03AD" w:rsidP="00BD03AD">
      <w:pPr>
        <w:jc w:val="both"/>
      </w:pPr>
    </w:p>
    <w:p w14:paraId="389DFA95" w14:textId="77777777" w:rsidR="00BD03AD" w:rsidRDefault="00BD03AD" w:rsidP="00BD03AD">
      <w:pPr>
        <w:jc w:val="both"/>
      </w:pPr>
    </w:p>
    <w:p w14:paraId="4A87D2A3" w14:textId="77777777" w:rsidR="00BD03AD" w:rsidRDefault="00BD03AD" w:rsidP="00BD03AD">
      <w:pPr>
        <w:jc w:val="both"/>
      </w:pPr>
    </w:p>
    <w:p w14:paraId="7772E788" w14:textId="77777777" w:rsidR="00BD03AD" w:rsidRDefault="00BD03AD" w:rsidP="00BD03AD">
      <w:pPr>
        <w:jc w:val="both"/>
      </w:pPr>
    </w:p>
    <w:p w14:paraId="78A4EDD5" w14:textId="559C2EB1" w:rsidR="00636958" w:rsidRDefault="00636958" w:rsidP="00BD03AD">
      <w:pPr>
        <w:jc w:val="both"/>
        <w:rPr>
          <w:b/>
          <w:bCs/>
        </w:rPr>
      </w:pPr>
      <w:r>
        <w:lastRenderedPageBreak/>
        <w:t xml:space="preserve">V oddiele VII. </w:t>
      </w:r>
      <w:r w:rsidRPr="00636958">
        <w:rPr>
          <w:i/>
          <w:iCs/>
        </w:rPr>
        <w:t>Hospodárenie (v eurách)</w:t>
      </w:r>
      <w:r>
        <w:t xml:space="preserve"> sme porovnali </w:t>
      </w:r>
      <w:r w:rsidRPr="00636958">
        <w:rPr>
          <w:b/>
          <w:bCs/>
        </w:rPr>
        <w:t>riadok 0703</w:t>
      </w:r>
      <w:r>
        <w:t xml:space="preserve"> – náklady na </w:t>
      </w:r>
      <w:r w:rsidRPr="00636958">
        <w:rPr>
          <w:b/>
          <w:bCs/>
        </w:rPr>
        <w:t>nákup knižničného fondu</w:t>
      </w:r>
      <w:r>
        <w:t xml:space="preserve"> a </w:t>
      </w:r>
      <w:r w:rsidRPr="00636958">
        <w:rPr>
          <w:b/>
          <w:bCs/>
        </w:rPr>
        <w:t>riadok 0704</w:t>
      </w:r>
      <w:r>
        <w:t xml:space="preserve"> – náklady na </w:t>
      </w:r>
      <w:r w:rsidRPr="00636958">
        <w:rPr>
          <w:b/>
          <w:bCs/>
        </w:rPr>
        <w:t>nákup licencií a</w:t>
      </w:r>
      <w:r>
        <w:rPr>
          <w:b/>
          <w:bCs/>
        </w:rPr>
        <w:t> </w:t>
      </w:r>
      <w:r w:rsidRPr="00636958">
        <w:rPr>
          <w:b/>
          <w:bCs/>
        </w:rPr>
        <w:t>databáz</w:t>
      </w:r>
      <w:r>
        <w:rPr>
          <w:b/>
          <w:bCs/>
        </w:rPr>
        <w:t>.</w:t>
      </w:r>
      <w:r w:rsidR="00EF4A24">
        <w:rPr>
          <w:b/>
          <w:bCs/>
        </w:rPr>
        <w:t xml:space="preserve"> </w:t>
      </w:r>
    </w:p>
    <w:p w14:paraId="05625DAE" w14:textId="74656FCB" w:rsidR="00636958" w:rsidRPr="00636958" w:rsidRDefault="00D9506C" w:rsidP="00BD03AD">
      <w:pPr>
        <w:jc w:val="both"/>
      </w:pPr>
      <w:r>
        <w:rPr>
          <w:noProof/>
        </w:rPr>
        <w:drawing>
          <wp:inline distT="0" distB="0" distL="0" distR="0" wp14:anchorId="727EB641" wp14:editId="78F6A2A2">
            <wp:extent cx="5486400" cy="3200400"/>
            <wp:effectExtent l="0" t="0" r="0" b="0"/>
            <wp:docPr id="774367793" name="Graf 2" descr="Finančné náklady na nákup fondu"/>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F6C836" w14:textId="77777777" w:rsidR="00BD03AD" w:rsidRDefault="00BD03AD" w:rsidP="00BD03AD">
      <w:pPr>
        <w:jc w:val="both"/>
      </w:pPr>
    </w:p>
    <w:p w14:paraId="526949A1" w14:textId="18FC9D3C" w:rsidR="00227ACB" w:rsidRDefault="000E5A25" w:rsidP="00BD03AD">
      <w:pPr>
        <w:jc w:val="both"/>
      </w:pPr>
      <w:r>
        <w:t xml:space="preserve">Graf ukazuje, že </w:t>
      </w:r>
      <w:r w:rsidR="007C151A">
        <w:t xml:space="preserve">v roku 2025 sa </w:t>
      </w:r>
      <w:r>
        <w:t>stalo prvýkrát</w:t>
      </w:r>
      <w:r w:rsidR="00BE7DFA">
        <w:t xml:space="preserve"> za dlhšie sledované obdobie (</w:t>
      </w:r>
      <w:r>
        <w:t xml:space="preserve">pozreli </w:t>
      </w:r>
      <w:r w:rsidR="00BE7DFA">
        <w:t xml:space="preserve">sme si </w:t>
      </w:r>
      <w:r>
        <w:t xml:space="preserve">pomer týchto dvoch hodnôt aj v predchádzajúcich rokoch) </w:t>
      </w:r>
      <w:r w:rsidR="007C151A">
        <w:t xml:space="preserve">to, že </w:t>
      </w:r>
      <w:r>
        <w:t>náklady na nákup licencií a databáz prevýšili náklady na nákup knižničného fondu. Z toho vidieť, že prioritou sa stáva literatúra obsiahnutá v databázach, kde sa sústreďujú najnovšie svetové vedecké poznatky, ktoré študenti potrebujú poznať a citovať pri spracovávaní svojich tém a výskumov.</w:t>
      </w:r>
      <w:r w:rsidR="00CF0085">
        <w:t xml:space="preserve"> K tomu je však potrebné dodať, že vyššie náklady na nákup licencií a databáz automaticky neznamenajú viac licencií a databáz, keďže ceny za ich zaobstaranie stúpajú.</w:t>
      </w:r>
    </w:p>
    <w:p w14:paraId="272800E9" w14:textId="2A23FEC1" w:rsidR="00EF4A24" w:rsidRDefault="00EF4A24" w:rsidP="00BD03AD">
      <w:pPr>
        <w:jc w:val="both"/>
      </w:pPr>
      <w:r>
        <w:t xml:space="preserve">Porovnali sme aj </w:t>
      </w:r>
      <w:r w:rsidRPr="00EF4A24">
        <w:rPr>
          <w:b/>
          <w:bCs/>
        </w:rPr>
        <w:t>riadok 0701 – Finančné náklady na činnosť knižnice</w:t>
      </w:r>
      <w:r>
        <w:t xml:space="preserve"> v rámci sledovaných rokov:</w:t>
      </w:r>
    </w:p>
    <w:p w14:paraId="5602D138" w14:textId="77777777" w:rsidR="00EF4A24" w:rsidRDefault="00EF4A24" w:rsidP="00BD03AD">
      <w:pPr>
        <w:jc w:val="both"/>
      </w:pPr>
    </w:p>
    <w:p w14:paraId="25AA8E6D" w14:textId="16F0F289" w:rsidR="00EF4A24" w:rsidRDefault="00874C1C" w:rsidP="00BD03AD">
      <w:pPr>
        <w:jc w:val="both"/>
      </w:pPr>
      <w:r>
        <w:rPr>
          <w:noProof/>
        </w:rPr>
        <w:drawing>
          <wp:inline distT="0" distB="0" distL="0" distR="0" wp14:anchorId="34952792" wp14:editId="3EB2E196">
            <wp:extent cx="5693568" cy="1792605"/>
            <wp:effectExtent l="0" t="0" r="2540" b="17145"/>
            <wp:docPr id="362496490" name="Graf 1" descr="Finančné náklady na činnosť knižnic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B8573E" w14:textId="77777777" w:rsidR="00EF4A24" w:rsidRDefault="00EF4A24" w:rsidP="00BD03AD">
      <w:pPr>
        <w:jc w:val="both"/>
      </w:pPr>
    </w:p>
    <w:p w14:paraId="5C80FC2F" w14:textId="798B7D6A" w:rsidR="00227ACB" w:rsidRDefault="005D4A56" w:rsidP="00BD03AD">
      <w:pPr>
        <w:jc w:val="both"/>
      </w:pPr>
      <w:r>
        <w:t>Z porovnania celkových nákladov na chod akademických knižníc vidíme, že suma, ktorá bola najvyššia v roku 2024</w:t>
      </w:r>
      <w:r w:rsidR="0092047F">
        <w:t>,</w:t>
      </w:r>
      <w:r>
        <w:t xml:space="preserve"> výrazne klesla, čo môžeme odôvodniť prebiehajúcou konsolidáciou v spoločnosti celkovo, ktorá spôsobila aj prepúšťanie z práce k 1.1.2026</w:t>
      </w:r>
      <w:r w:rsidR="0092047F">
        <w:t>,</w:t>
      </w:r>
      <w:r>
        <w:t xml:space="preserve"> čo </w:t>
      </w:r>
      <w:r w:rsidR="0048100E">
        <w:t>sa môže odzrkadliť</w:t>
      </w:r>
      <w:r>
        <w:t xml:space="preserve"> v analýze štatistiky za rok 2026. </w:t>
      </w:r>
    </w:p>
    <w:p w14:paraId="78F94095" w14:textId="77777777" w:rsidR="00EE4A67" w:rsidRDefault="00EE4A67" w:rsidP="00BD03AD">
      <w:pPr>
        <w:jc w:val="both"/>
      </w:pPr>
    </w:p>
    <w:p w14:paraId="74323FDE" w14:textId="507FADC0" w:rsidR="00EE4A67" w:rsidRDefault="00EE4A67" w:rsidP="00BD03AD">
      <w:pPr>
        <w:jc w:val="both"/>
      </w:pPr>
      <w:r>
        <w:t xml:space="preserve">                                                                                           </w:t>
      </w:r>
      <w:r w:rsidR="0092047F">
        <w:t xml:space="preserve">                          </w:t>
      </w:r>
      <w:r>
        <w:t xml:space="preserve"> </w:t>
      </w:r>
      <w:r w:rsidR="006B5642">
        <w:t xml:space="preserve"> </w:t>
      </w:r>
      <w:r>
        <w:t xml:space="preserve">    Mgr. Miroslava Hajtmánková</w:t>
      </w:r>
    </w:p>
    <w:p w14:paraId="176B9B6B" w14:textId="7757548C" w:rsidR="006B5642" w:rsidRDefault="006B5642" w:rsidP="0092047F">
      <w:pPr>
        <w:jc w:val="both"/>
      </w:pPr>
      <w:r>
        <w:t xml:space="preserve">                                                                                 </w:t>
      </w:r>
    </w:p>
    <w:p w14:paraId="08E238D9" w14:textId="77777777" w:rsidR="0066163B" w:rsidRDefault="0066163B" w:rsidP="00BD03AD">
      <w:pPr>
        <w:jc w:val="both"/>
      </w:pPr>
    </w:p>
    <w:p w14:paraId="055E000C" w14:textId="77777777" w:rsidR="0066163B" w:rsidRPr="000315D3" w:rsidRDefault="0066163B" w:rsidP="00BD03AD">
      <w:pPr>
        <w:jc w:val="both"/>
      </w:pPr>
    </w:p>
    <w:p w14:paraId="4530F83C" w14:textId="77777777" w:rsidR="00BD03AD" w:rsidRPr="000315D3" w:rsidRDefault="00BD03AD">
      <w:pPr>
        <w:jc w:val="both"/>
      </w:pPr>
    </w:p>
    <w:sectPr w:rsidR="00BD03AD" w:rsidRPr="000315D3" w:rsidSect="00BD03AD">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8D41" w14:textId="77777777" w:rsidR="00AB24C2" w:rsidRDefault="00AB24C2" w:rsidP="00BD03AD">
      <w:pPr>
        <w:spacing w:after="0" w:line="240" w:lineRule="auto"/>
      </w:pPr>
      <w:r>
        <w:separator/>
      </w:r>
    </w:p>
  </w:endnote>
  <w:endnote w:type="continuationSeparator" w:id="0">
    <w:p w14:paraId="546887BF" w14:textId="77777777" w:rsidR="00AB24C2" w:rsidRDefault="00AB24C2" w:rsidP="00BD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837155"/>
      <w:docPartObj>
        <w:docPartGallery w:val="Page Numbers (Bottom of Page)"/>
        <w:docPartUnique/>
      </w:docPartObj>
    </w:sdtPr>
    <w:sdtEndPr/>
    <w:sdtContent>
      <w:p w14:paraId="1607D607" w14:textId="64B056C0" w:rsidR="00BD03AD" w:rsidRDefault="00BD03AD">
        <w:pPr>
          <w:pStyle w:val="Pta"/>
          <w:jc w:val="center"/>
        </w:pPr>
        <w:r>
          <w:fldChar w:fldCharType="begin"/>
        </w:r>
        <w:r>
          <w:instrText>PAGE   \* MERGEFORMAT</w:instrText>
        </w:r>
        <w:r>
          <w:fldChar w:fldCharType="separate"/>
        </w:r>
        <w:r>
          <w:t>2</w:t>
        </w:r>
        <w:r>
          <w:fldChar w:fldCharType="end"/>
        </w:r>
      </w:p>
    </w:sdtContent>
  </w:sdt>
  <w:p w14:paraId="3019CBE6" w14:textId="77777777" w:rsidR="00BD03AD" w:rsidRDefault="00BD03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C81ED" w14:textId="77777777" w:rsidR="00AB24C2" w:rsidRDefault="00AB24C2" w:rsidP="00BD03AD">
      <w:pPr>
        <w:spacing w:after="0" w:line="240" w:lineRule="auto"/>
      </w:pPr>
      <w:r>
        <w:separator/>
      </w:r>
    </w:p>
  </w:footnote>
  <w:footnote w:type="continuationSeparator" w:id="0">
    <w:p w14:paraId="101D29AA" w14:textId="77777777" w:rsidR="00AB24C2" w:rsidRDefault="00AB24C2" w:rsidP="00BD03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4FA"/>
    <w:rsid w:val="00030B00"/>
    <w:rsid w:val="000315D3"/>
    <w:rsid w:val="0003231E"/>
    <w:rsid w:val="000549B0"/>
    <w:rsid w:val="0006079A"/>
    <w:rsid w:val="000639BC"/>
    <w:rsid w:val="000656B8"/>
    <w:rsid w:val="00097757"/>
    <w:rsid w:val="000A12B2"/>
    <w:rsid w:val="000A1B8C"/>
    <w:rsid w:val="000E5A25"/>
    <w:rsid w:val="000F4176"/>
    <w:rsid w:val="001372C1"/>
    <w:rsid w:val="001462EC"/>
    <w:rsid w:val="00153FD5"/>
    <w:rsid w:val="00154CCE"/>
    <w:rsid w:val="001666C0"/>
    <w:rsid w:val="00172EF7"/>
    <w:rsid w:val="001834E8"/>
    <w:rsid w:val="0019466A"/>
    <w:rsid w:val="001B0C85"/>
    <w:rsid w:val="001E5F38"/>
    <w:rsid w:val="002173BA"/>
    <w:rsid w:val="0022232C"/>
    <w:rsid w:val="00227ACB"/>
    <w:rsid w:val="00245AB2"/>
    <w:rsid w:val="00270B96"/>
    <w:rsid w:val="00282492"/>
    <w:rsid w:val="00285D40"/>
    <w:rsid w:val="002D4F88"/>
    <w:rsid w:val="002E60A8"/>
    <w:rsid w:val="002F6B45"/>
    <w:rsid w:val="00325CFA"/>
    <w:rsid w:val="003407A1"/>
    <w:rsid w:val="00357EED"/>
    <w:rsid w:val="00360D95"/>
    <w:rsid w:val="00375AE5"/>
    <w:rsid w:val="00387E2C"/>
    <w:rsid w:val="0039436F"/>
    <w:rsid w:val="00397E6B"/>
    <w:rsid w:val="003C3599"/>
    <w:rsid w:val="003C720E"/>
    <w:rsid w:val="004010E2"/>
    <w:rsid w:val="00402C2E"/>
    <w:rsid w:val="004058C3"/>
    <w:rsid w:val="00443BC5"/>
    <w:rsid w:val="00455988"/>
    <w:rsid w:val="0048100E"/>
    <w:rsid w:val="0049721E"/>
    <w:rsid w:val="004A3055"/>
    <w:rsid w:val="004A33D7"/>
    <w:rsid w:val="004C0FE4"/>
    <w:rsid w:val="004C5BBE"/>
    <w:rsid w:val="004F39F7"/>
    <w:rsid w:val="004F6D07"/>
    <w:rsid w:val="00510382"/>
    <w:rsid w:val="00517025"/>
    <w:rsid w:val="0053133E"/>
    <w:rsid w:val="00541656"/>
    <w:rsid w:val="00547381"/>
    <w:rsid w:val="00555374"/>
    <w:rsid w:val="005608BF"/>
    <w:rsid w:val="00567F3D"/>
    <w:rsid w:val="00574779"/>
    <w:rsid w:val="00576F77"/>
    <w:rsid w:val="0058660C"/>
    <w:rsid w:val="005A290E"/>
    <w:rsid w:val="005A40CF"/>
    <w:rsid w:val="005B0B27"/>
    <w:rsid w:val="005B4D93"/>
    <w:rsid w:val="005C6DBD"/>
    <w:rsid w:val="005D4A56"/>
    <w:rsid w:val="005D4CEB"/>
    <w:rsid w:val="005D6D50"/>
    <w:rsid w:val="005E6A19"/>
    <w:rsid w:val="005E7471"/>
    <w:rsid w:val="005F0B03"/>
    <w:rsid w:val="005F1D11"/>
    <w:rsid w:val="00636958"/>
    <w:rsid w:val="00642A4F"/>
    <w:rsid w:val="0066163B"/>
    <w:rsid w:val="00676CA5"/>
    <w:rsid w:val="006865C9"/>
    <w:rsid w:val="006A2C7B"/>
    <w:rsid w:val="006B5642"/>
    <w:rsid w:val="006D7A2B"/>
    <w:rsid w:val="006E430A"/>
    <w:rsid w:val="006E601A"/>
    <w:rsid w:val="006F5AD5"/>
    <w:rsid w:val="006F7178"/>
    <w:rsid w:val="00705918"/>
    <w:rsid w:val="00712A1A"/>
    <w:rsid w:val="00725C01"/>
    <w:rsid w:val="00727D61"/>
    <w:rsid w:val="007332CA"/>
    <w:rsid w:val="00747DC9"/>
    <w:rsid w:val="00765A02"/>
    <w:rsid w:val="007C151A"/>
    <w:rsid w:val="007D5CB9"/>
    <w:rsid w:val="007F64A5"/>
    <w:rsid w:val="00815507"/>
    <w:rsid w:val="0081634C"/>
    <w:rsid w:val="00833D63"/>
    <w:rsid w:val="0086460E"/>
    <w:rsid w:val="00866336"/>
    <w:rsid w:val="00874C1C"/>
    <w:rsid w:val="008758EC"/>
    <w:rsid w:val="008974FA"/>
    <w:rsid w:val="008A7B25"/>
    <w:rsid w:val="008B44A5"/>
    <w:rsid w:val="008B45C0"/>
    <w:rsid w:val="008D6E8F"/>
    <w:rsid w:val="008F026F"/>
    <w:rsid w:val="008F1CB5"/>
    <w:rsid w:val="00911ABB"/>
    <w:rsid w:val="0092047F"/>
    <w:rsid w:val="00927FD8"/>
    <w:rsid w:val="009363C7"/>
    <w:rsid w:val="00963849"/>
    <w:rsid w:val="00990750"/>
    <w:rsid w:val="009A3AEB"/>
    <w:rsid w:val="00A26985"/>
    <w:rsid w:val="00A412D5"/>
    <w:rsid w:val="00A415A1"/>
    <w:rsid w:val="00A67DA8"/>
    <w:rsid w:val="00A72E7C"/>
    <w:rsid w:val="00AB24C2"/>
    <w:rsid w:val="00AC40D7"/>
    <w:rsid w:val="00AC653B"/>
    <w:rsid w:val="00AF3B6C"/>
    <w:rsid w:val="00B11D6C"/>
    <w:rsid w:val="00B1435D"/>
    <w:rsid w:val="00B2012B"/>
    <w:rsid w:val="00B24FF0"/>
    <w:rsid w:val="00B317A4"/>
    <w:rsid w:val="00B43801"/>
    <w:rsid w:val="00B50963"/>
    <w:rsid w:val="00B55FD3"/>
    <w:rsid w:val="00B6212F"/>
    <w:rsid w:val="00B70349"/>
    <w:rsid w:val="00B71A55"/>
    <w:rsid w:val="00B736E3"/>
    <w:rsid w:val="00B7750C"/>
    <w:rsid w:val="00BB453E"/>
    <w:rsid w:val="00BC65F4"/>
    <w:rsid w:val="00BD03AD"/>
    <w:rsid w:val="00BE0A40"/>
    <w:rsid w:val="00BE157D"/>
    <w:rsid w:val="00BE77E1"/>
    <w:rsid w:val="00BE7DFA"/>
    <w:rsid w:val="00C273ED"/>
    <w:rsid w:val="00C41B9C"/>
    <w:rsid w:val="00C5617D"/>
    <w:rsid w:val="00C62924"/>
    <w:rsid w:val="00C62DB8"/>
    <w:rsid w:val="00C63BAD"/>
    <w:rsid w:val="00C67E30"/>
    <w:rsid w:val="00C74E4B"/>
    <w:rsid w:val="00CA641B"/>
    <w:rsid w:val="00CC64B7"/>
    <w:rsid w:val="00CD584E"/>
    <w:rsid w:val="00CF0085"/>
    <w:rsid w:val="00D0267B"/>
    <w:rsid w:val="00D17C1A"/>
    <w:rsid w:val="00D441CB"/>
    <w:rsid w:val="00D4570E"/>
    <w:rsid w:val="00D52275"/>
    <w:rsid w:val="00D9506C"/>
    <w:rsid w:val="00DD24F7"/>
    <w:rsid w:val="00DE31C1"/>
    <w:rsid w:val="00E12181"/>
    <w:rsid w:val="00E169B7"/>
    <w:rsid w:val="00E173AB"/>
    <w:rsid w:val="00E2632B"/>
    <w:rsid w:val="00E3157E"/>
    <w:rsid w:val="00E43323"/>
    <w:rsid w:val="00E45ACC"/>
    <w:rsid w:val="00E5001E"/>
    <w:rsid w:val="00E60AF0"/>
    <w:rsid w:val="00E65BAC"/>
    <w:rsid w:val="00E747FA"/>
    <w:rsid w:val="00EA75F0"/>
    <w:rsid w:val="00EB27B4"/>
    <w:rsid w:val="00EE308E"/>
    <w:rsid w:val="00EE4A67"/>
    <w:rsid w:val="00EF17D5"/>
    <w:rsid w:val="00EF4A24"/>
    <w:rsid w:val="00EF7CA8"/>
    <w:rsid w:val="00F132D2"/>
    <w:rsid w:val="00F90F92"/>
    <w:rsid w:val="00F91B85"/>
    <w:rsid w:val="00FA3F82"/>
    <w:rsid w:val="00FF0C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1644"/>
  <w15:chartTrackingRefBased/>
  <w15:docId w15:val="{448CBC1A-2235-4502-B6A6-E4EA9F49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97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97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974F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974F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974FA"/>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974F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974FA"/>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974FA"/>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974FA"/>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974F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8974F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974FA"/>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974FA"/>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974FA"/>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974F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974F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974F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974FA"/>
    <w:rPr>
      <w:rFonts w:eastAsiaTheme="majorEastAsia" w:cstheme="majorBidi"/>
      <w:color w:val="272727" w:themeColor="text1" w:themeTint="D8"/>
    </w:rPr>
  </w:style>
  <w:style w:type="paragraph" w:styleId="Nzov">
    <w:name w:val="Title"/>
    <w:basedOn w:val="Normlny"/>
    <w:next w:val="Normlny"/>
    <w:link w:val="NzovChar"/>
    <w:uiPriority w:val="10"/>
    <w:qFormat/>
    <w:rsid w:val="00897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974F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974F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974F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974F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974FA"/>
    <w:rPr>
      <w:i/>
      <w:iCs/>
      <w:color w:val="404040" w:themeColor="text1" w:themeTint="BF"/>
    </w:rPr>
  </w:style>
  <w:style w:type="paragraph" w:styleId="Odsekzoznamu">
    <w:name w:val="List Paragraph"/>
    <w:basedOn w:val="Normlny"/>
    <w:uiPriority w:val="34"/>
    <w:qFormat/>
    <w:rsid w:val="008974FA"/>
    <w:pPr>
      <w:ind w:left="720"/>
      <w:contextualSpacing/>
    </w:pPr>
  </w:style>
  <w:style w:type="character" w:styleId="Intenzvnezvraznenie">
    <w:name w:val="Intense Emphasis"/>
    <w:basedOn w:val="Predvolenpsmoodseku"/>
    <w:uiPriority w:val="21"/>
    <w:qFormat/>
    <w:rsid w:val="008974FA"/>
    <w:rPr>
      <w:i/>
      <w:iCs/>
      <w:color w:val="0F4761" w:themeColor="accent1" w:themeShade="BF"/>
    </w:rPr>
  </w:style>
  <w:style w:type="paragraph" w:styleId="Zvraznencitcia">
    <w:name w:val="Intense Quote"/>
    <w:basedOn w:val="Normlny"/>
    <w:next w:val="Normlny"/>
    <w:link w:val="ZvraznencitciaChar"/>
    <w:uiPriority w:val="30"/>
    <w:qFormat/>
    <w:rsid w:val="00897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974FA"/>
    <w:rPr>
      <w:i/>
      <w:iCs/>
      <w:color w:val="0F4761" w:themeColor="accent1" w:themeShade="BF"/>
    </w:rPr>
  </w:style>
  <w:style w:type="character" w:styleId="Zvraznenodkaz">
    <w:name w:val="Intense Reference"/>
    <w:basedOn w:val="Predvolenpsmoodseku"/>
    <w:uiPriority w:val="32"/>
    <w:qFormat/>
    <w:rsid w:val="008974FA"/>
    <w:rPr>
      <w:b/>
      <w:bCs/>
      <w:smallCaps/>
      <w:color w:val="0F4761" w:themeColor="accent1" w:themeShade="BF"/>
      <w:spacing w:val="5"/>
    </w:rPr>
  </w:style>
  <w:style w:type="table" w:styleId="Mriekatabuky">
    <w:name w:val="Table Grid"/>
    <w:basedOn w:val="Normlnatabuka"/>
    <w:uiPriority w:val="39"/>
    <w:rsid w:val="00547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1"/>
    <w:qFormat/>
    <w:rsid w:val="005E7471"/>
    <w:pPr>
      <w:widowControl w:val="0"/>
      <w:spacing w:after="0" w:line="240" w:lineRule="auto"/>
      <w:ind w:left="824"/>
    </w:pPr>
    <w:rPr>
      <w:rFonts w:ascii="Times New Roman" w:eastAsia="Times New Roman" w:hAnsi="Times New Roman" w:cs="Times New Roman"/>
      <w:kern w:val="0"/>
      <w:sz w:val="22"/>
      <w:szCs w:val="22"/>
      <w:lang w:val="en-US"/>
      <w14:ligatures w14:val="none"/>
    </w:rPr>
  </w:style>
  <w:style w:type="character" w:customStyle="1" w:styleId="ZkladntextChar">
    <w:name w:val="Základný text Char"/>
    <w:basedOn w:val="Predvolenpsmoodseku"/>
    <w:link w:val="Zkladntext"/>
    <w:uiPriority w:val="1"/>
    <w:rsid w:val="005E7471"/>
    <w:rPr>
      <w:rFonts w:ascii="Times New Roman" w:eastAsia="Times New Roman" w:hAnsi="Times New Roman" w:cs="Times New Roman"/>
      <w:kern w:val="0"/>
      <w:sz w:val="22"/>
      <w:szCs w:val="22"/>
      <w:lang w:val="en-US"/>
      <w14:ligatures w14:val="none"/>
    </w:rPr>
  </w:style>
  <w:style w:type="character" w:styleId="Hypertextovprepojenie">
    <w:name w:val="Hyperlink"/>
    <w:basedOn w:val="Predvolenpsmoodseku"/>
    <w:uiPriority w:val="99"/>
    <w:unhideWhenUsed/>
    <w:rsid w:val="0022232C"/>
    <w:rPr>
      <w:color w:val="467886" w:themeColor="hyperlink"/>
      <w:u w:val="single"/>
    </w:rPr>
  </w:style>
  <w:style w:type="character" w:styleId="Nevyrieenzmienka">
    <w:name w:val="Unresolved Mention"/>
    <w:basedOn w:val="Predvolenpsmoodseku"/>
    <w:uiPriority w:val="99"/>
    <w:semiHidden/>
    <w:unhideWhenUsed/>
    <w:rsid w:val="0022232C"/>
    <w:rPr>
      <w:color w:val="605E5C"/>
      <w:shd w:val="clear" w:color="auto" w:fill="E1DFDD"/>
    </w:rPr>
  </w:style>
  <w:style w:type="paragraph" w:styleId="Hlavika">
    <w:name w:val="header"/>
    <w:basedOn w:val="Normlny"/>
    <w:link w:val="HlavikaChar"/>
    <w:uiPriority w:val="99"/>
    <w:unhideWhenUsed/>
    <w:rsid w:val="00BD03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D03AD"/>
  </w:style>
  <w:style w:type="paragraph" w:styleId="Pta">
    <w:name w:val="footer"/>
    <w:basedOn w:val="Normlny"/>
    <w:link w:val="PtaChar"/>
    <w:uiPriority w:val="99"/>
    <w:unhideWhenUsed/>
    <w:rsid w:val="00BD03AD"/>
    <w:pPr>
      <w:tabs>
        <w:tab w:val="center" w:pos="4536"/>
        <w:tab w:val="right" w:pos="9072"/>
      </w:tabs>
      <w:spacing w:after="0" w:line="240" w:lineRule="auto"/>
    </w:pPr>
  </w:style>
  <w:style w:type="character" w:customStyle="1" w:styleId="PtaChar">
    <w:name w:val="Päta Char"/>
    <w:basedOn w:val="Predvolenpsmoodseku"/>
    <w:link w:val="Pta"/>
    <w:uiPriority w:val="99"/>
    <w:rsid w:val="00BD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Fyzickí a virtuálni návštevníci</a:t>
            </a:r>
            <a:r>
              <a:rPr lang="sk-SK" baseline="0"/>
              <a:t> (všetky AK)</a:t>
            </a:r>
            <a:endParaRPr lang="sk-SK"/>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view3D>
      <c:rotX val="15"/>
      <c:rotY val="20"/>
      <c:depthPercent val="100"/>
      <c:rAngAx val="1"/>
    </c:view3D>
    <c:floor>
      <c:thickness val="0"/>
      <c:spPr>
        <a:noFill/>
        <a:ln w="25400">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Hárok1!$B$1</c:f>
              <c:strCache>
                <c:ptCount val="1"/>
                <c:pt idx="0">
                  <c:v>Fyzické vávštevy</c:v>
                </c:pt>
              </c:strCache>
            </c:strRef>
          </c:tx>
          <c:spPr>
            <a:solidFill>
              <a:schemeClr val="accent1"/>
            </a:solidFill>
            <a:ln>
              <a:noFill/>
            </a:ln>
            <a:effectLst/>
            <a:sp3d/>
          </c:spPr>
          <c:invertIfNegative val="0"/>
          <c:dLbls>
            <c:dLbl>
              <c:idx val="0"/>
              <c:layout>
                <c:manualLayout>
                  <c:x val="-2.3148148148148168E-2"/>
                  <c:y val="-2.38095238095238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5AF-45BB-93C1-FF3F4F7A92EC}"/>
                </c:ext>
              </c:extLst>
            </c:dLbl>
            <c:dLbl>
              <c:idx val="1"/>
              <c:layout>
                <c:manualLayout>
                  <c:x val="-2.0833333333333377E-2"/>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AF-45BB-93C1-FF3F4F7A92EC}"/>
                </c:ext>
              </c:extLst>
            </c:dLbl>
            <c:dLbl>
              <c:idx val="2"/>
              <c:layout>
                <c:manualLayout>
                  <c:x val="-1.8518518518518517E-2"/>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AF-45BB-93C1-FF3F4F7A92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Hárok1!$A$2:$A$5</c:f>
              <c:numCache>
                <c:formatCode>General</c:formatCode>
                <c:ptCount val="4"/>
                <c:pt idx="0">
                  <c:v>2023</c:v>
                </c:pt>
                <c:pt idx="1">
                  <c:v>2024</c:v>
                </c:pt>
                <c:pt idx="2">
                  <c:v>2025</c:v>
                </c:pt>
              </c:numCache>
            </c:numRef>
          </c:cat>
          <c:val>
            <c:numRef>
              <c:f>Hárok1!$B$2:$B$5</c:f>
              <c:numCache>
                <c:formatCode>#,##0</c:formatCode>
                <c:ptCount val="4"/>
                <c:pt idx="0">
                  <c:v>937845</c:v>
                </c:pt>
                <c:pt idx="1">
                  <c:v>892304</c:v>
                </c:pt>
                <c:pt idx="2">
                  <c:v>922955</c:v>
                </c:pt>
              </c:numCache>
            </c:numRef>
          </c:val>
          <c:extLst>
            <c:ext xmlns:c16="http://schemas.microsoft.com/office/drawing/2014/chart" uri="{C3380CC4-5D6E-409C-BE32-E72D297353CC}">
              <c16:uniqueId val="{00000000-8E61-4F7E-8414-63F8021831AF}"/>
            </c:ext>
          </c:extLst>
        </c:ser>
        <c:ser>
          <c:idx val="1"/>
          <c:order val="1"/>
          <c:tx>
            <c:strRef>
              <c:f>Hárok1!$C$1</c:f>
              <c:strCache>
                <c:ptCount val="1"/>
                <c:pt idx="0">
                  <c:v>Virtuálni návštevníci</c:v>
                </c:pt>
              </c:strCache>
            </c:strRef>
          </c:tx>
          <c:spPr>
            <a:solidFill>
              <a:schemeClr val="accent2"/>
            </a:solidFill>
            <a:ln>
              <a:noFill/>
            </a:ln>
            <a:effectLst/>
            <a:sp3d/>
          </c:spPr>
          <c:invertIfNegative val="0"/>
          <c:dLbls>
            <c:dLbl>
              <c:idx val="0"/>
              <c:layout>
                <c:manualLayout>
                  <c:x val="1.1574074074074032E-2"/>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AF-45BB-93C1-FF3F4F7A92EC}"/>
                </c:ext>
              </c:extLst>
            </c:dLbl>
            <c:dLbl>
              <c:idx val="1"/>
              <c:layout>
                <c:manualLayout>
                  <c:x val="4.6296296296295444E-3"/>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AF-45BB-93C1-FF3F4F7A92EC}"/>
                </c:ext>
              </c:extLst>
            </c:dLbl>
            <c:dLbl>
              <c:idx val="2"/>
              <c:layout>
                <c:manualLayout>
                  <c:x val="6.9444444444444441E-3"/>
                  <c:y val="-2.3809523809523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AF-45BB-93C1-FF3F4F7A92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Hárok1!$A$2:$A$5</c:f>
              <c:numCache>
                <c:formatCode>General</c:formatCode>
                <c:ptCount val="4"/>
                <c:pt idx="0">
                  <c:v>2023</c:v>
                </c:pt>
                <c:pt idx="1">
                  <c:v>2024</c:v>
                </c:pt>
                <c:pt idx="2">
                  <c:v>2025</c:v>
                </c:pt>
              </c:numCache>
            </c:numRef>
          </c:cat>
          <c:val>
            <c:numRef>
              <c:f>Hárok1!$C$2:$C$5</c:f>
              <c:numCache>
                <c:formatCode>#,##0</c:formatCode>
                <c:ptCount val="4"/>
                <c:pt idx="0">
                  <c:v>2354153</c:v>
                </c:pt>
                <c:pt idx="1">
                  <c:v>2632539</c:v>
                </c:pt>
                <c:pt idx="2">
                  <c:v>2721508</c:v>
                </c:pt>
              </c:numCache>
            </c:numRef>
          </c:val>
          <c:extLst>
            <c:ext xmlns:c16="http://schemas.microsoft.com/office/drawing/2014/chart" uri="{C3380CC4-5D6E-409C-BE32-E72D297353CC}">
              <c16:uniqueId val="{00000001-8E61-4F7E-8414-63F8021831AF}"/>
            </c:ext>
          </c:extLst>
        </c:ser>
        <c:dLbls>
          <c:showLegendKey val="0"/>
          <c:showVal val="1"/>
          <c:showCatName val="0"/>
          <c:showSerName val="0"/>
          <c:showPercent val="0"/>
          <c:showBubbleSize val="0"/>
        </c:dLbls>
        <c:gapWidth val="150"/>
        <c:shape val="box"/>
        <c:axId val="1211468464"/>
        <c:axId val="1211469424"/>
        <c:axId val="0"/>
      </c:bar3DChart>
      <c:catAx>
        <c:axId val="1211468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11469424"/>
        <c:crosses val="autoZero"/>
        <c:auto val="1"/>
        <c:lblAlgn val="ctr"/>
        <c:lblOffset val="100"/>
        <c:noMultiLvlLbl val="0"/>
      </c:catAx>
      <c:valAx>
        <c:axId val="1211469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1146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Akcie informačnej výchovy (všetky AK)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Hárok1!$B$1</c:f>
              <c:strCache>
                <c:ptCount val="1"/>
                <c:pt idx="0">
                  <c:v>Rad 1</c:v>
                </c:pt>
              </c:strCache>
            </c:strRef>
          </c:tx>
          <c:spPr>
            <a:solidFill>
              <a:schemeClr val="accent5"/>
            </a:solidFill>
            <a:ln>
              <a:noFill/>
            </a:ln>
            <a:effectLst/>
            <a:sp3d/>
          </c:spPr>
          <c:invertIfNegative val="0"/>
          <c:dLbls>
            <c:dLbl>
              <c:idx val="0"/>
              <c:layout>
                <c:manualLayout>
                  <c:x val="1.1574074074074073E-2"/>
                  <c:y val="-4.76190476190476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552-429B-AC6E-0F6C2C415190}"/>
                </c:ext>
              </c:extLst>
            </c:dLbl>
            <c:dLbl>
              <c:idx val="1"/>
              <c:layout>
                <c:manualLayout>
                  <c:x val="1.1574074074073988E-2"/>
                  <c:y val="-4.3650793650793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52-429B-AC6E-0F6C2C415190}"/>
                </c:ext>
              </c:extLst>
            </c:dLbl>
            <c:dLbl>
              <c:idx val="2"/>
              <c:layout>
                <c:manualLayout>
                  <c:x val="1.8518518518518434E-2"/>
                  <c:y val="-3.1746031746031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52-429B-AC6E-0F6C2C4151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Hárok1!$A$2:$A$5</c:f>
              <c:numCache>
                <c:formatCode>General</c:formatCode>
                <c:ptCount val="4"/>
                <c:pt idx="0">
                  <c:v>2023</c:v>
                </c:pt>
                <c:pt idx="1">
                  <c:v>2024</c:v>
                </c:pt>
                <c:pt idx="2">
                  <c:v>2025</c:v>
                </c:pt>
              </c:numCache>
            </c:numRef>
          </c:cat>
          <c:val>
            <c:numRef>
              <c:f>Hárok1!$B$2:$B$5</c:f>
              <c:numCache>
                <c:formatCode>General</c:formatCode>
                <c:ptCount val="4"/>
                <c:pt idx="0">
                  <c:v>589</c:v>
                </c:pt>
                <c:pt idx="1">
                  <c:v>464</c:v>
                </c:pt>
                <c:pt idx="2">
                  <c:v>558</c:v>
                </c:pt>
              </c:numCache>
            </c:numRef>
          </c:val>
          <c:extLst>
            <c:ext xmlns:c16="http://schemas.microsoft.com/office/drawing/2014/chart" uri="{C3380CC4-5D6E-409C-BE32-E72D297353CC}">
              <c16:uniqueId val="{00000000-8CA1-4797-8054-A5046B97F010}"/>
            </c:ext>
          </c:extLst>
        </c:ser>
        <c:dLbls>
          <c:showLegendKey val="0"/>
          <c:showVal val="1"/>
          <c:showCatName val="0"/>
          <c:showSerName val="0"/>
          <c:showPercent val="0"/>
          <c:showBubbleSize val="0"/>
        </c:dLbls>
        <c:gapWidth val="150"/>
        <c:shape val="box"/>
        <c:axId val="1146523792"/>
        <c:axId val="1146511312"/>
        <c:axId val="0"/>
      </c:bar3DChart>
      <c:catAx>
        <c:axId val="1146523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146511312"/>
        <c:crosses val="autoZero"/>
        <c:auto val="1"/>
        <c:lblAlgn val="ctr"/>
        <c:lblOffset val="100"/>
        <c:noMultiLvlLbl val="0"/>
      </c:catAx>
      <c:valAx>
        <c:axId val="1146511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146523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Finančné náklady na nákup knižničného fondu a na nákup licencií a databáz v rokoch 2023 - 2025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Hárok1!$B$1</c:f>
              <c:strCache>
                <c:ptCount val="1"/>
                <c:pt idx="0">
                  <c:v>riadok 0703</c:v>
                </c:pt>
              </c:strCache>
            </c:strRef>
          </c:tx>
          <c:spPr>
            <a:solidFill>
              <a:schemeClr val="accent2"/>
            </a:solidFill>
            <a:ln>
              <a:noFill/>
            </a:ln>
            <a:effectLst/>
            <a:sp3d/>
          </c:spPr>
          <c:invertIfNegative val="0"/>
          <c:dLbls>
            <c:dLbl>
              <c:idx val="0"/>
              <c:layout>
                <c:manualLayout>
                  <c:x val="0"/>
                  <c:y val="-2.3809523809523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0D-413E-B163-C10BFD321BAB}"/>
                </c:ext>
              </c:extLst>
            </c:dLbl>
            <c:dLbl>
              <c:idx val="2"/>
              <c:layout>
                <c:manualLayout>
                  <c:x val="-3.0092592592592591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0D-413E-B163-C10BFD321B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Hárok1!$A$2:$A$5</c:f>
              <c:numCache>
                <c:formatCode>General</c:formatCode>
                <c:ptCount val="4"/>
                <c:pt idx="0">
                  <c:v>2023</c:v>
                </c:pt>
                <c:pt idx="1">
                  <c:v>2024</c:v>
                </c:pt>
                <c:pt idx="2">
                  <c:v>2025</c:v>
                </c:pt>
              </c:numCache>
            </c:numRef>
          </c:cat>
          <c:val>
            <c:numRef>
              <c:f>Hárok1!$B$2:$B$5</c:f>
              <c:numCache>
                <c:formatCode>#,##0</c:formatCode>
                <c:ptCount val="4"/>
                <c:pt idx="0">
                  <c:v>718766</c:v>
                </c:pt>
                <c:pt idx="1">
                  <c:v>704668</c:v>
                </c:pt>
                <c:pt idx="2">
                  <c:v>710403</c:v>
                </c:pt>
              </c:numCache>
            </c:numRef>
          </c:val>
          <c:extLst>
            <c:ext xmlns:c16="http://schemas.microsoft.com/office/drawing/2014/chart" uri="{C3380CC4-5D6E-409C-BE32-E72D297353CC}">
              <c16:uniqueId val="{00000000-81D2-4ED7-BBB8-CF11B32B926B}"/>
            </c:ext>
          </c:extLst>
        </c:ser>
        <c:ser>
          <c:idx val="1"/>
          <c:order val="1"/>
          <c:tx>
            <c:strRef>
              <c:f>Hárok1!$C$1</c:f>
              <c:strCache>
                <c:ptCount val="1"/>
                <c:pt idx="0">
                  <c:v>riadok 0704</c:v>
                </c:pt>
              </c:strCache>
            </c:strRef>
          </c:tx>
          <c:spPr>
            <a:solidFill>
              <a:schemeClr val="accent4"/>
            </a:solidFill>
            <a:ln>
              <a:noFill/>
            </a:ln>
            <a:effectLst/>
            <a:sp3d/>
          </c:spPr>
          <c:invertIfNegative val="0"/>
          <c:dLbls>
            <c:dLbl>
              <c:idx val="0"/>
              <c:layout>
                <c:manualLayout>
                  <c:x val="3.9351851851851853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0D-413E-B163-C10BFD321BAB}"/>
                </c:ext>
              </c:extLst>
            </c:dLbl>
            <c:dLbl>
              <c:idx val="1"/>
              <c:layout>
                <c:manualLayout>
                  <c:x val="3.4722222222222224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0D-413E-B163-C10BFD321BAB}"/>
                </c:ext>
              </c:extLst>
            </c:dLbl>
            <c:dLbl>
              <c:idx val="2"/>
              <c:layout>
                <c:manualLayout>
                  <c:x val="1.8518518518518604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0D-413E-B163-C10BFD321B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Hárok1!$A$2:$A$5</c:f>
              <c:numCache>
                <c:formatCode>General</c:formatCode>
                <c:ptCount val="4"/>
                <c:pt idx="0">
                  <c:v>2023</c:v>
                </c:pt>
                <c:pt idx="1">
                  <c:v>2024</c:v>
                </c:pt>
                <c:pt idx="2">
                  <c:v>2025</c:v>
                </c:pt>
              </c:numCache>
            </c:numRef>
          </c:cat>
          <c:val>
            <c:numRef>
              <c:f>Hárok1!$C$2:$C$5</c:f>
              <c:numCache>
                <c:formatCode>#,##0</c:formatCode>
                <c:ptCount val="4"/>
                <c:pt idx="0">
                  <c:v>654624</c:v>
                </c:pt>
                <c:pt idx="1">
                  <c:v>451542</c:v>
                </c:pt>
                <c:pt idx="2">
                  <c:v>800753</c:v>
                </c:pt>
              </c:numCache>
            </c:numRef>
          </c:val>
          <c:extLst>
            <c:ext xmlns:c16="http://schemas.microsoft.com/office/drawing/2014/chart" uri="{C3380CC4-5D6E-409C-BE32-E72D297353CC}">
              <c16:uniqueId val="{00000001-81D2-4ED7-BBB8-CF11B32B926B}"/>
            </c:ext>
          </c:extLst>
        </c:ser>
        <c:ser>
          <c:idx val="2"/>
          <c:order val="2"/>
          <c:tx>
            <c:strRef>
              <c:f>Hárok1!$D$1</c:f>
              <c:strCache>
                <c:ptCount val="1"/>
                <c:pt idx="0">
                  <c:v>Stĺpec1</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Hárok1!$A$2:$A$5</c:f>
              <c:numCache>
                <c:formatCode>General</c:formatCode>
                <c:ptCount val="4"/>
                <c:pt idx="0">
                  <c:v>2023</c:v>
                </c:pt>
                <c:pt idx="1">
                  <c:v>2024</c:v>
                </c:pt>
                <c:pt idx="2">
                  <c:v>2025</c:v>
                </c:pt>
              </c:numCache>
            </c:numRef>
          </c:cat>
          <c:val>
            <c:numRef>
              <c:f>Hárok1!$D$2:$D$5</c:f>
              <c:numCache>
                <c:formatCode>General</c:formatCode>
                <c:ptCount val="4"/>
              </c:numCache>
            </c:numRef>
          </c:val>
          <c:extLst>
            <c:ext xmlns:c16="http://schemas.microsoft.com/office/drawing/2014/chart" uri="{C3380CC4-5D6E-409C-BE32-E72D297353CC}">
              <c16:uniqueId val="{00000002-81D2-4ED7-BBB8-CF11B32B926B}"/>
            </c:ext>
          </c:extLst>
        </c:ser>
        <c:dLbls>
          <c:showLegendKey val="0"/>
          <c:showVal val="1"/>
          <c:showCatName val="0"/>
          <c:showSerName val="0"/>
          <c:showPercent val="0"/>
          <c:showBubbleSize val="0"/>
        </c:dLbls>
        <c:gapWidth val="150"/>
        <c:shape val="box"/>
        <c:axId val="1579837631"/>
        <c:axId val="1579857311"/>
        <c:axId val="0"/>
      </c:bar3DChart>
      <c:catAx>
        <c:axId val="157983763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579857311"/>
        <c:crosses val="autoZero"/>
        <c:auto val="1"/>
        <c:lblAlgn val="ctr"/>
        <c:lblOffset val="100"/>
        <c:noMultiLvlLbl val="0"/>
      </c:catAx>
      <c:valAx>
        <c:axId val="15798573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579837631"/>
        <c:crosses val="autoZero"/>
        <c:crossBetween val="between"/>
      </c:valAx>
      <c:spPr>
        <a:noFill/>
        <a:ln>
          <a:noFill/>
        </a:ln>
        <a:effectLst/>
      </c:spPr>
    </c:plotArea>
    <c:legend>
      <c:legendPos val="b"/>
      <c:legendEntry>
        <c:idx val="2"/>
        <c:delete val="1"/>
      </c:legendEntry>
      <c:layout>
        <c:manualLayout>
          <c:xMode val="edge"/>
          <c:yMode val="edge"/>
          <c:x val="0.24920384951881014"/>
          <c:y val="0.89732095988001503"/>
          <c:w val="0.30714785651793525"/>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Finančné náklady na činnosť knižnice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Hárok1!$B$1</c:f>
              <c:strCache>
                <c:ptCount val="1"/>
                <c:pt idx="0">
                  <c:v>2023</c:v>
                </c:pt>
              </c:strCache>
            </c:strRef>
          </c:tx>
          <c:spPr>
            <a:solidFill>
              <a:schemeClr val="accent2"/>
            </a:solidFill>
            <a:ln>
              <a:noFill/>
            </a:ln>
            <a:effectLst/>
            <a:sp3d/>
          </c:spPr>
          <c:invertIfNegative val="0"/>
          <c:dLbls>
            <c:dLbl>
              <c:idx val="0"/>
              <c:layout>
                <c:manualLayout>
                  <c:x val="-3.122908766451035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58-4AD1-9FF5-9A78A7CAAB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Hárok1!$A$2:$A$5</c:f>
              <c:numCache>
                <c:formatCode>General</c:formatCode>
                <c:ptCount val="4"/>
              </c:numCache>
            </c:numRef>
          </c:cat>
          <c:val>
            <c:numRef>
              <c:f>Hárok1!$B$2:$B$5</c:f>
              <c:numCache>
                <c:formatCode>General</c:formatCode>
                <c:ptCount val="4"/>
                <c:pt idx="0" formatCode="#,##0">
                  <c:v>9696851</c:v>
                </c:pt>
              </c:numCache>
            </c:numRef>
          </c:val>
          <c:extLst>
            <c:ext xmlns:c16="http://schemas.microsoft.com/office/drawing/2014/chart" uri="{C3380CC4-5D6E-409C-BE32-E72D297353CC}">
              <c16:uniqueId val="{00000000-EE75-4E33-A004-FA56A23DC093}"/>
            </c:ext>
          </c:extLst>
        </c:ser>
        <c:ser>
          <c:idx val="1"/>
          <c:order val="1"/>
          <c:tx>
            <c:strRef>
              <c:f>Hárok1!$C$1</c:f>
              <c:strCache>
                <c:ptCount val="1"/>
                <c:pt idx="0">
                  <c:v>2024</c:v>
                </c:pt>
              </c:strCache>
            </c:strRef>
          </c:tx>
          <c:spPr>
            <a:solidFill>
              <a:schemeClr val="accent4"/>
            </a:solidFill>
            <a:ln>
              <a:noFill/>
            </a:ln>
            <a:effectLst/>
            <a:sp3d/>
          </c:spPr>
          <c:invertIfNegative val="0"/>
          <c:dLbls>
            <c:dLbl>
              <c:idx val="0"/>
              <c:layout>
                <c:manualLayout>
                  <c:x val="-4.0894761426608944E-17"/>
                  <c:y val="-6.37619553666312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58-4AD1-9FF5-9A78A7CAAB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Hárok1!$A$2:$A$5</c:f>
              <c:numCache>
                <c:formatCode>General</c:formatCode>
                <c:ptCount val="4"/>
              </c:numCache>
            </c:numRef>
          </c:cat>
          <c:val>
            <c:numRef>
              <c:f>Hárok1!$C$2:$C$5</c:f>
              <c:numCache>
                <c:formatCode>General</c:formatCode>
                <c:ptCount val="4"/>
                <c:pt idx="0" formatCode="#,##0">
                  <c:v>13889105</c:v>
                </c:pt>
              </c:numCache>
            </c:numRef>
          </c:val>
          <c:extLst>
            <c:ext xmlns:c16="http://schemas.microsoft.com/office/drawing/2014/chart" uri="{C3380CC4-5D6E-409C-BE32-E72D297353CC}">
              <c16:uniqueId val="{00000001-EE75-4E33-A004-FA56A23DC093}"/>
            </c:ext>
          </c:extLst>
        </c:ser>
        <c:ser>
          <c:idx val="2"/>
          <c:order val="2"/>
          <c:tx>
            <c:strRef>
              <c:f>Hárok1!$D$1</c:f>
              <c:strCache>
                <c:ptCount val="1"/>
                <c:pt idx="0">
                  <c:v>2025</c:v>
                </c:pt>
              </c:strCache>
            </c:strRef>
          </c:tx>
          <c:spPr>
            <a:solidFill>
              <a:schemeClr val="accent6"/>
            </a:solidFill>
            <a:ln>
              <a:noFill/>
            </a:ln>
            <a:effectLst/>
            <a:sp3d/>
          </c:spPr>
          <c:invertIfNegative val="0"/>
          <c:dLbls>
            <c:dLbl>
              <c:idx val="0"/>
              <c:layout>
                <c:manualLayout>
                  <c:x val="6.9150122685701546E-2"/>
                  <c:y val="-3.54233085370174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58-4AD1-9FF5-9A78A7CAAB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Hárok1!$A$2:$A$5</c:f>
              <c:numCache>
                <c:formatCode>General</c:formatCode>
                <c:ptCount val="4"/>
              </c:numCache>
            </c:numRef>
          </c:cat>
          <c:val>
            <c:numRef>
              <c:f>Hárok1!$D$2:$D$5</c:f>
              <c:numCache>
                <c:formatCode>General</c:formatCode>
                <c:ptCount val="4"/>
                <c:pt idx="0" formatCode="#,##0">
                  <c:v>11368093</c:v>
                </c:pt>
              </c:numCache>
            </c:numRef>
          </c:val>
          <c:extLst>
            <c:ext xmlns:c16="http://schemas.microsoft.com/office/drawing/2014/chart" uri="{C3380CC4-5D6E-409C-BE32-E72D297353CC}">
              <c16:uniqueId val="{00000002-EE75-4E33-A004-FA56A23DC093}"/>
            </c:ext>
          </c:extLst>
        </c:ser>
        <c:dLbls>
          <c:showLegendKey val="0"/>
          <c:showVal val="1"/>
          <c:showCatName val="0"/>
          <c:showSerName val="0"/>
          <c:showPercent val="0"/>
          <c:showBubbleSize val="0"/>
        </c:dLbls>
        <c:gapWidth val="25"/>
        <c:gapDepth val="121"/>
        <c:shape val="box"/>
        <c:axId val="1293429136"/>
        <c:axId val="1293424816"/>
        <c:axId val="0"/>
      </c:bar3DChart>
      <c:catAx>
        <c:axId val="1293429136"/>
        <c:scaling>
          <c:orientation val="minMax"/>
        </c:scaling>
        <c:delete val="0"/>
        <c:axPos val="b"/>
        <c:numFmt formatCode="General" sourceLinked="1"/>
        <c:majorTickMark val="none"/>
        <c:minorTickMark val="none"/>
        <c:tickLblPos val="nextTo"/>
        <c:spPr>
          <a:noFill/>
          <a:ln>
            <a:noFill/>
          </a:ln>
          <a:effectLst>
            <a:softEdge rad="0"/>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93424816"/>
        <c:crosses val="autoZero"/>
        <c:auto val="1"/>
        <c:lblAlgn val="ctr"/>
        <c:lblOffset val="100"/>
        <c:noMultiLvlLbl val="0"/>
      </c:catAx>
      <c:valAx>
        <c:axId val="1293424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93429136"/>
        <c:crosses val="autoZero"/>
        <c:crossBetween val="between"/>
        <c:majorUnit val="80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334E2-12CF-4C90-8B2D-0CD8B8A1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1243</Words>
  <Characters>8099</Characters>
  <Application>Microsoft Office Word</Application>
  <DocSecurity>0</DocSecurity>
  <Lines>323</Lines>
  <Paragraphs>259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Hajtmánková</dc:creator>
  <cp:keywords/>
  <dc:description/>
  <cp:lastModifiedBy>Veronika Pavlíková Klindová</cp:lastModifiedBy>
  <cp:revision>8</cp:revision>
  <cp:lastPrinted>2026-04-15T14:18:00Z</cp:lastPrinted>
  <dcterms:created xsi:type="dcterms:W3CDTF">2026-06-10T07:25:00Z</dcterms:created>
  <dcterms:modified xsi:type="dcterms:W3CDTF">2026-06-10T15:15:00Z</dcterms:modified>
</cp:coreProperties>
</file>